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BD4861A">
      <w:pPr>
        <w:kinsoku/>
        <w:spacing w:before="187" w:afterLines="100" w:line="324" w:lineRule="auto"/>
        <w:jc w:val="left"/>
        <w:rPr>
          <w:rFonts w:hint="default" w:ascii="仿宋_GB2312" w:hAnsi="仿宋_GB2312" w:eastAsia="仿宋_GB2312" w:cs="仿宋_GB2312"/>
          <w:snapToGrid w:val="0"/>
          <w:color w:val="auto"/>
          <w:sz w:val="32"/>
          <w:szCs w:val="32"/>
          <w:highlight w:val="none"/>
          <w:lang w:val="en-US" w:eastAsia="zh-CN" w:bidi="ar-SA"/>
        </w:rPr>
      </w:pPr>
      <w:r>
        <w:rPr>
          <w:rFonts w:hint="eastAsia" w:ascii="仿宋_GB2312" w:hAnsi="仿宋_GB2312" w:eastAsia="仿宋_GB2312" w:cs="仿宋_GB2312"/>
          <w:snapToGrid w:val="0"/>
          <w:color w:val="auto"/>
          <w:sz w:val="32"/>
          <w:szCs w:val="32"/>
          <w:highlight w:val="none"/>
          <w:lang w:val="en-US" w:eastAsia="zh-CN" w:bidi="ar-SA"/>
        </w:rPr>
        <w:t>附件1</w:t>
      </w:r>
    </w:p>
    <w:p w14:paraId="68CFA01C">
      <w:pPr>
        <w:kinsoku/>
        <w:spacing w:before="187" w:afterLines="100" w:line="324" w:lineRule="auto"/>
        <w:jc w:val="center"/>
        <w:rPr>
          <w:rFonts w:hint="eastAsia" w:ascii="仿宋_GB2312" w:hAnsi="仿宋_GB2312" w:eastAsia="仿宋_GB2312" w:cs="仿宋_GB2312"/>
          <w:b/>
          <w:bCs/>
          <w:color w:val="auto"/>
          <w:spacing w:val="6"/>
          <w:sz w:val="36"/>
          <w:szCs w:val="36"/>
          <w:highlight w:val="none"/>
          <w:lang w:eastAsia="zh-CN"/>
        </w:rPr>
      </w:pPr>
      <w:r>
        <w:rPr>
          <w:rFonts w:hint="eastAsia" w:ascii="仿宋_GB2312" w:hAnsi="仿宋_GB2312" w:eastAsia="仿宋_GB2312" w:cs="仿宋_GB2312"/>
          <w:b/>
          <w:bCs/>
          <w:color w:val="auto"/>
          <w:spacing w:val="6"/>
          <w:sz w:val="36"/>
          <w:szCs w:val="36"/>
          <w:highlight w:val="none"/>
          <w:lang w:eastAsia="zh-CN"/>
        </w:rPr>
        <w:t>广东省招标代理服务收费指引</w:t>
      </w:r>
    </w:p>
    <w:p w14:paraId="58E327D5">
      <w:pPr>
        <w:pStyle w:val="4"/>
        <w:kinsoku/>
        <w:spacing w:before="54" w:line="324" w:lineRule="auto"/>
        <w:jc w:val="center"/>
        <w:rPr>
          <w:rFonts w:hint="eastAsia" w:ascii="仿宋_GB2312" w:hAnsi="仿宋_GB2312" w:eastAsia="仿宋_GB2312" w:cs="仿宋_GB2312"/>
          <w:color w:val="auto"/>
          <w:spacing w:val="6"/>
          <w:sz w:val="30"/>
          <w:szCs w:val="30"/>
          <w:highlight w:val="none"/>
          <w:lang w:eastAsia="zh-CN"/>
        </w:rPr>
      </w:pPr>
      <w:r>
        <w:rPr>
          <w:rFonts w:hint="eastAsia" w:ascii="仿宋_GB2312" w:hAnsi="仿宋_GB2312" w:eastAsia="仿宋_GB2312" w:cs="仿宋_GB2312"/>
          <w:color w:val="auto"/>
          <w:spacing w:val="6"/>
          <w:sz w:val="30"/>
          <w:szCs w:val="30"/>
          <w:highlight w:val="none"/>
          <w:lang w:eastAsia="zh-CN"/>
        </w:rPr>
        <w:t>(征求意见稿)</w:t>
      </w:r>
    </w:p>
    <w:p w14:paraId="1326BECB">
      <w:pPr>
        <w:pStyle w:val="4"/>
        <w:kinsoku/>
        <w:spacing w:before="54" w:line="324" w:lineRule="auto"/>
        <w:jc w:val="center"/>
        <w:rPr>
          <w:rFonts w:hint="eastAsia" w:ascii="仿宋_GB2312" w:hAnsi="仿宋_GB2312" w:eastAsia="仿宋_GB2312" w:cs="仿宋_GB2312"/>
          <w:color w:val="auto"/>
          <w:spacing w:val="6"/>
          <w:sz w:val="30"/>
          <w:szCs w:val="30"/>
          <w:highlight w:val="none"/>
          <w:lang w:eastAsia="zh-CN"/>
        </w:rPr>
      </w:pPr>
      <w:bookmarkStart w:id="6" w:name="_GoBack"/>
      <w:bookmarkEnd w:id="6"/>
    </w:p>
    <w:p w14:paraId="5128DDA6">
      <w:pPr>
        <w:kinsoku/>
        <w:spacing w:before="234" w:line="324" w:lineRule="auto"/>
        <w:jc w:val="center"/>
        <w:rPr>
          <w:rFonts w:hint="eastAsia" w:ascii="Times New Roman" w:hAnsi="Times New Roman" w:eastAsia="黑体" w:cs="Times New Roman"/>
          <w:color w:val="auto"/>
          <w:sz w:val="32"/>
          <w:szCs w:val="32"/>
          <w:highlight w:val="none"/>
          <w:lang w:eastAsia="zh-CN"/>
        </w:rPr>
      </w:pPr>
      <w:r>
        <w:rPr>
          <w:rFonts w:hint="eastAsia" w:ascii="Times New Roman" w:hAnsi="Times New Roman" w:eastAsia="黑体" w:cs="Times New Roman"/>
          <w:color w:val="auto"/>
          <w:sz w:val="32"/>
          <w:szCs w:val="32"/>
          <w:highlight w:val="none"/>
          <w:lang w:eastAsia="zh-CN"/>
        </w:rPr>
        <w:t>第一章　总则</w:t>
      </w:r>
    </w:p>
    <w:p w14:paraId="33FBBBD1">
      <w:pPr>
        <w:pStyle w:val="4"/>
        <w:kinsoku/>
        <w:spacing w:before="120" w:beforeLines="50" w:line="324" w:lineRule="auto"/>
        <w:ind w:firstLine="643" w:firstLineChars="200"/>
        <w:jc w:val="both"/>
        <w:rPr>
          <w:rFonts w:hint="eastAsia" w:ascii="仿宋_GB2312" w:hAnsi="仿宋_GB2312" w:eastAsia="仿宋_GB2312" w:cs="仿宋_GB2312"/>
          <w:color w:val="auto"/>
          <w:sz w:val="32"/>
          <w:szCs w:val="32"/>
          <w:highlight w:val="none"/>
          <w:lang w:eastAsia="zh-CN"/>
        </w:rPr>
      </w:pPr>
      <w:bookmarkStart w:id="0" w:name="OLE_LINK1"/>
      <w:r>
        <w:rPr>
          <w:rFonts w:hint="eastAsia" w:ascii="仿宋_GB2312" w:hAnsi="仿宋_GB2312" w:eastAsia="仿宋_GB2312" w:cs="仿宋_GB2312"/>
          <w:b/>
          <w:bCs/>
          <w:color w:val="auto"/>
          <w:sz w:val="32"/>
          <w:szCs w:val="32"/>
          <w:highlight w:val="none"/>
          <w:lang w:eastAsia="zh-CN"/>
        </w:rPr>
        <w:t>第一条</w:t>
      </w:r>
      <w:r>
        <w:rPr>
          <w:rFonts w:hint="eastAsia" w:ascii="仿宋_GB2312" w:hAnsi="仿宋_GB2312" w:eastAsia="仿宋_GB2312" w:cs="仿宋_GB2312"/>
          <w:color w:val="auto"/>
          <w:sz w:val="32"/>
          <w:szCs w:val="32"/>
          <w:highlight w:val="none"/>
          <w:lang w:eastAsia="zh-CN"/>
        </w:rPr>
        <w:t>　</w:t>
      </w:r>
      <w:bookmarkEnd w:id="0"/>
      <w:r>
        <w:rPr>
          <w:rFonts w:hint="eastAsia" w:ascii="仿宋_GB2312" w:hAnsi="仿宋_GB2312" w:eastAsia="仿宋_GB2312" w:cs="仿宋_GB2312"/>
          <w:color w:val="auto"/>
          <w:sz w:val="32"/>
          <w:szCs w:val="32"/>
          <w:highlight w:val="none"/>
          <w:lang w:eastAsia="zh-CN"/>
        </w:rPr>
        <w:t>为进一步加强行业自律，规范我省招标代理服务收费行为，维护招标投标活动当事人合法权益，促进行业高质量、专业化发展，依据《中华人民共和国价格法》《中华人民共和国招标投标法》《工程建设项目招标代理机构管理暂行办法》《关于治理价格无序竞争维护良好市场价格秩序的公告》《关于印发广东省创新完善体制机制推动招标投标市场规范健康发展工作方案的通知》《招标代理服务规范》（GB/T 38357-2019）等法律、规章</w:t>
      </w:r>
      <w:r>
        <w:rPr>
          <w:rFonts w:hint="eastAsia" w:ascii="仿宋_GB2312" w:hAnsi="仿宋_GB2312" w:eastAsia="仿宋_GB2312" w:cs="仿宋_GB2312"/>
          <w:color w:val="auto"/>
          <w:sz w:val="32"/>
          <w:szCs w:val="32"/>
          <w:highlight w:val="none"/>
          <w:lang w:val="en-US" w:eastAsia="zh-CN"/>
        </w:rPr>
        <w:t>和</w:t>
      </w:r>
      <w:r>
        <w:rPr>
          <w:rFonts w:hint="eastAsia" w:ascii="仿宋_GB2312" w:hAnsi="仿宋_GB2312" w:eastAsia="仿宋_GB2312" w:cs="仿宋_GB2312"/>
          <w:color w:val="auto"/>
          <w:sz w:val="32"/>
          <w:szCs w:val="32"/>
          <w:highlight w:val="none"/>
          <w:lang w:eastAsia="zh-CN"/>
        </w:rPr>
        <w:t>规范性文件，</w:t>
      </w:r>
      <w:r>
        <w:rPr>
          <w:rFonts w:hint="eastAsia" w:ascii="仿宋_GB2312" w:hAnsi="仿宋_GB2312" w:eastAsia="仿宋_GB2312" w:cs="仿宋_GB2312"/>
          <w:color w:val="auto"/>
          <w:sz w:val="32"/>
          <w:szCs w:val="32"/>
          <w:highlight w:val="none"/>
          <w:lang w:val="en-US" w:eastAsia="zh-CN"/>
        </w:rPr>
        <w:t>以</w:t>
      </w:r>
      <w:r>
        <w:rPr>
          <w:rFonts w:hint="eastAsia" w:ascii="仿宋_GB2312" w:hAnsi="仿宋_GB2312" w:eastAsia="仿宋_GB2312" w:cs="仿宋_GB2312"/>
          <w:color w:val="auto"/>
          <w:sz w:val="32"/>
          <w:szCs w:val="32"/>
          <w:highlight w:val="none"/>
          <w:lang w:eastAsia="zh-CN"/>
        </w:rPr>
        <w:t>及《广东省招标投标协会章程》，结合本省实际，制定本指引。</w:t>
      </w:r>
    </w:p>
    <w:p w14:paraId="2612E448">
      <w:pPr>
        <w:pStyle w:val="4"/>
        <w:kinsoku/>
        <w:spacing w:before="120" w:beforeLines="50" w:line="324" w:lineRule="auto"/>
        <w:ind w:firstLine="643" w:firstLineChars="200"/>
        <w:jc w:val="both"/>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b/>
          <w:bCs/>
          <w:color w:val="auto"/>
          <w:sz w:val="32"/>
          <w:szCs w:val="32"/>
          <w:highlight w:val="none"/>
          <w:lang w:eastAsia="zh-CN"/>
        </w:rPr>
        <w:t>第二条</w:t>
      </w:r>
      <w:r>
        <w:rPr>
          <w:rFonts w:hint="eastAsia" w:ascii="仿宋_GB2312" w:hAnsi="仿宋_GB2312" w:eastAsia="仿宋_GB2312" w:cs="仿宋_GB2312"/>
          <w:color w:val="auto"/>
          <w:sz w:val="32"/>
          <w:szCs w:val="32"/>
          <w:highlight w:val="none"/>
          <w:lang w:eastAsia="zh-CN"/>
        </w:rPr>
        <w:t>　本指引适用于广东省行政区域内开展的招标代理服务收费及行业自律管理，旨在为招标人与招标代理机构协商服务费用提供市场参考和协商框架。本指引属行业推荐参考性质，不替代双方依法订立的合同，亦不作为强制性定价依据。</w:t>
      </w:r>
    </w:p>
    <w:p w14:paraId="49E06093">
      <w:pPr>
        <w:pStyle w:val="4"/>
        <w:kinsoku/>
        <w:spacing w:before="120" w:beforeLines="50" w:line="324" w:lineRule="auto"/>
        <w:ind w:firstLine="643" w:firstLineChars="200"/>
        <w:jc w:val="both"/>
        <w:rPr>
          <w:rFonts w:hint="eastAsia" w:ascii="仿宋_GB2312" w:hAnsi="仿宋_GB2312" w:eastAsia="仿宋_GB2312" w:cs="仿宋_GB2312"/>
          <w:color w:val="auto"/>
          <w:sz w:val="32"/>
          <w:szCs w:val="32"/>
          <w:highlight w:val="none"/>
          <w:lang w:eastAsia="zh-CN"/>
        </w:rPr>
      </w:pPr>
      <w:bookmarkStart w:id="1" w:name="OLE_LINK8"/>
      <w:r>
        <w:rPr>
          <w:rFonts w:hint="eastAsia" w:ascii="仿宋_GB2312" w:hAnsi="仿宋_GB2312" w:eastAsia="仿宋_GB2312" w:cs="仿宋_GB2312"/>
          <w:b/>
          <w:bCs/>
          <w:color w:val="auto"/>
          <w:sz w:val="32"/>
          <w:szCs w:val="32"/>
          <w:highlight w:val="none"/>
          <w:lang w:eastAsia="zh-CN"/>
        </w:rPr>
        <w:t>第三条</w:t>
      </w:r>
      <w:r>
        <w:rPr>
          <w:rFonts w:hint="eastAsia" w:ascii="仿宋_GB2312" w:hAnsi="仿宋_GB2312" w:eastAsia="仿宋_GB2312" w:cs="仿宋_GB2312"/>
          <w:color w:val="auto"/>
          <w:sz w:val="32"/>
          <w:szCs w:val="32"/>
          <w:highlight w:val="none"/>
          <w:lang w:eastAsia="zh-CN"/>
        </w:rPr>
        <w:t>　招标代理服务应当严格遵守国家法律法规、政策性文件及行业规范。招标代理服务收费应当遵循市场调节、公平竞争、诚实信用、质价相符的原则。禁止恶意低价竞争、价格欺诈及利用地域、平台壁垒限制竞争等不正当行为。</w:t>
      </w:r>
    </w:p>
    <w:bookmarkEnd w:id="1"/>
    <w:p w14:paraId="6C5DD432">
      <w:pPr>
        <w:kinsoku/>
        <w:spacing w:before="234" w:line="324" w:lineRule="auto"/>
        <w:jc w:val="center"/>
        <w:rPr>
          <w:rFonts w:hint="eastAsia" w:ascii="Times New Roman" w:hAnsi="Times New Roman" w:eastAsia="黑体" w:cs="Times New Roman"/>
          <w:color w:val="auto"/>
          <w:sz w:val="32"/>
          <w:szCs w:val="32"/>
          <w:highlight w:val="none"/>
          <w:lang w:val="en-US" w:eastAsia="zh-CN"/>
        </w:rPr>
      </w:pPr>
      <w:r>
        <w:rPr>
          <w:rFonts w:hint="eastAsia" w:ascii="Times New Roman" w:hAnsi="Times New Roman" w:eastAsia="黑体" w:cs="Times New Roman"/>
          <w:color w:val="auto"/>
          <w:sz w:val="32"/>
          <w:szCs w:val="32"/>
          <w:highlight w:val="none"/>
          <w:lang w:eastAsia="zh-CN"/>
        </w:rPr>
        <w:t>第二章　服务内容与</w:t>
      </w:r>
      <w:r>
        <w:rPr>
          <w:rFonts w:hint="eastAsia" w:ascii="Times New Roman" w:hAnsi="Times New Roman" w:eastAsia="黑体" w:cs="Times New Roman"/>
          <w:color w:val="auto"/>
          <w:sz w:val="32"/>
          <w:szCs w:val="32"/>
          <w:highlight w:val="none"/>
          <w:lang w:val="en-US" w:eastAsia="zh-CN"/>
        </w:rPr>
        <w:t>参考基准</w:t>
      </w:r>
    </w:p>
    <w:p w14:paraId="646697C9">
      <w:pPr>
        <w:pStyle w:val="4"/>
        <w:kinsoku/>
        <w:spacing w:before="120" w:beforeLines="50" w:line="324" w:lineRule="auto"/>
        <w:ind w:firstLine="643" w:firstLineChars="200"/>
        <w:jc w:val="both"/>
        <w:rPr>
          <w:rFonts w:hint="eastAsia" w:ascii="仿宋_GB2312" w:hAnsi="仿宋_GB2312" w:eastAsia="仿宋_GB2312" w:cs="仿宋_GB2312"/>
          <w:strike w:val="0"/>
          <w:color w:val="auto"/>
          <w:sz w:val="32"/>
          <w:szCs w:val="32"/>
          <w:highlight w:val="none"/>
          <w:u w:val="none"/>
          <w:lang w:eastAsia="zh-CN"/>
        </w:rPr>
      </w:pPr>
      <w:bookmarkStart w:id="2" w:name="OLE_LINK9"/>
      <w:r>
        <w:rPr>
          <w:rFonts w:hint="eastAsia" w:ascii="仿宋_GB2312" w:hAnsi="仿宋_GB2312" w:eastAsia="仿宋_GB2312" w:cs="仿宋_GB2312"/>
          <w:b/>
          <w:bCs/>
          <w:strike w:val="0"/>
          <w:color w:val="auto"/>
          <w:sz w:val="32"/>
          <w:szCs w:val="32"/>
          <w:highlight w:val="none"/>
          <w:u w:val="none"/>
          <w:lang w:eastAsia="zh-CN"/>
        </w:rPr>
        <w:t>第四条</w:t>
      </w:r>
      <w:r>
        <w:rPr>
          <w:rFonts w:hint="eastAsia" w:ascii="仿宋_GB2312" w:hAnsi="仿宋_GB2312" w:eastAsia="仿宋_GB2312" w:cs="仿宋_GB2312"/>
          <w:strike w:val="0"/>
          <w:color w:val="auto"/>
          <w:sz w:val="32"/>
          <w:szCs w:val="32"/>
          <w:highlight w:val="none"/>
          <w:u w:val="none"/>
          <w:lang w:eastAsia="zh-CN"/>
        </w:rPr>
        <w:t>　招标代理服务分为常规服务和增值服务两类。</w:t>
      </w:r>
    </w:p>
    <w:p w14:paraId="129BB07C">
      <w:pPr>
        <w:pStyle w:val="4"/>
        <w:keepNext w:val="0"/>
        <w:keepLines w:val="0"/>
        <w:pageBreakBefore w:val="0"/>
        <w:widowControl/>
        <w:kinsoku/>
        <w:wordWrap/>
        <w:overflowPunct/>
        <w:topLinePunct w:val="0"/>
        <w:autoSpaceDE w:val="0"/>
        <w:autoSpaceDN w:val="0"/>
        <w:bidi w:val="0"/>
        <w:adjustRightInd w:val="0"/>
        <w:snapToGrid w:val="0"/>
        <w:spacing w:line="324" w:lineRule="auto"/>
        <w:ind w:firstLine="640" w:firstLineChars="200"/>
        <w:jc w:val="both"/>
        <w:textAlignment w:val="baseline"/>
        <w:rPr>
          <w:rFonts w:hint="eastAsia" w:ascii="仿宋_GB2312" w:hAnsi="仿宋_GB2312" w:eastAsia="仿宋_GB2312" w:cs="仿宋_GB2312"/>
          <w:strike w:val="0"/>
          <w:color w:val="auto"/>
          <w:sz w:val="32"/>
          <w:szCs w:val="32"/>
          <w:highlight w:val="none"/>
          <w:u w:val="none"/>
          <w:lang w:val="en-US" w:eastAsia="zh-CN"/>
        </w:rPr>
      </w:pPr>
      <w:r>
        <w:rPr>
          <w:rFonts w:hint="eastAsia" w:ascii="仿宋_GB2312" w:hAnsi="仿宋_GB2312" w:eastAsia="仿宋_GB2312" w:cs="仿宋_GB2312"/>
          <w:strike w:val="0"/>
          <w:color w:val="auto"/>
          <w:sz w:val="32"/>
          <w:szCs w:val="32"/>
          <w:highlight w:val="none"/>
          <w:u w:val="none"/>
          <w:lang w:eastAsia="zh-CN"/>
        </w:rPr>
        <w:t>本指引提出的参考基准为招标代理机构服务收费参考价格，实行市场调节</w:t>
      </w:r>
      <w:r>
        <w:rPr>
          <w:rFonts w:hint="eastAsia" w:ascii="仿宋_GB2312" w:hAnsi="仿宋_GB2312" w:eastAsia="仿宋_GB2312" w:cs="仿宋_GB2312"/>
          <w:strike w:val="0"/>
          <w:dstrike w:val="0"/>
          <w:color w:val="auto"/>
          <w:sz w:val="32"/>
          <w:szCs w:val="32"/>
          <w:highlight w:val="none"/>
          <w:u w:val="none"/>
          <w:lang w:val="en-US" w:eastAsia="zh-CN"/>
        </w:rPr>
        <w:t>价</w:t>
      </w:r>
      <w:r>
        <w:rPr>
          <w:rFonts w:hint="eastAsia" w:ascii="仿宋_GB2312" w:hAnsi="仿宋_GB2312" w:eastAsia="仿宋_GB2312" w:cs="仿宋_GB2312"/>
          <w:strike w:val="0"/>
          <w:color w:val="auto"/>
          <w:sz w:val="32"/>
          <w:szCs w:val="32"/>
          <w:highlight w:val="none"/>
          <w:u w:val="none"/>
          <w:lang w:eastAsia="zh-CN"/>
        </w:rPr>
        <w:t>。招标代理机构与招标人根据项目规模、技术复杂程度、服务深度、服务质量、成本投入、数字化服务需求等因素协商确定具体金额。</w:t>
      </w:r>
    </w:p>
    <w:p w14:paraId="167F643E">
      <w:pPr>
        <w:pStyle w:val="4"/>
        <w:kinsoku/>
        <w:spacing w:before="120" w:beforeLines="50" w:line="324" w:lineRule="auto"/>
        <w:ind w:firstLine="643" w:firstLineChars="200"/>
        <w:jc w:val="both"/>
        <w:rPr>
          <w:rFonts w:hint="eastAsia" w:ascii="仿宋_GB2312" w:hAnsi="仿宋_GB2312" w:eastAsia="仿宋_GB2312" w:cs="仿宋_GB2312"/>
          <w:color w:val="auto"/>
          <w:sz w:val="32"/>
          <w:szCs w:val="32"/>
          <w:highlight w:val="none"/>
          <w:lang w:eastAsia="zh-CN"/>
        </w:rPr>
      </w:pPr>
      <w:r>
        <w:rPr>
          <w:rFonts w:hint="eastAsia" w:ascii="仿宋_GB2312" w:hAnsi="仿宋_GB2312" w:eastAsia="仿宋_GB2312" w:cs="仿宋_GB2312"/>
          <w:b/>
          <w:bCs/>
          <w:color w:val="auto"/>
          <w:sz w:val="32"/>
          <w:szCs w:val="32"/>
          <w:highlight w:val="none"/>
          <w:lang w:eastAsia="zh-CN"/>
        </w:rPr>
        <w:t>第五条</w:t>
      </w:r>
      <w:r>
        <w:rPr>
          <w:rFonts w:hint="eastAsia" w:ascii="仿宋_GB2312" w:hAnsi="仿宋_GB2312" w:eastAsia="仿宋_GB2312" w:cs="仿宋_GB2312"/>
          <w:color w:val="auto"/>
          <w:sz w:val="32"/>
          <w:szCs w:val="32"/>
          <w:highlight w:val="none"/>
          <w:lang w:eastAsia="zh-CN"/>
        </w:rPr>
        <w:t>　招标代理机构应当与招标人依法签订书面委托合同，明确服务范围、服务内容、服务标准、双方责任、收费方式、收费标准及支付时限等条款。</w:t>
      </w:r>
    </w:p>
    <w:p w14:paraId="02BAB3B9">
      <w:pPr>
        <w:pStyle w:val="4"/>
        <w:kinsoku/>
        <w:spacing w:before="120" w:beforeLines="50" w:line="324" w:lineRule="auto"/>
        <w:ind w:firstLine="643" w:firstLineChars="200"/>
        <w:jc w:val="both"/>
        <w:rPr>
          <w:rFonts w:hint="eastAsia" w:ascii="仿宋_GB2312" w:hAnsi="仿宋_GB2312" w:eastAsia="仿宋_GB2312" w:cs="仿宋_GB2312"/>
          <w:color w:val="auto"/>
          <w:sz w:val="32"/>
          <w:szCs w:val="32"/>
          <w:highlight w:val="none"/>
          <w:lang w:eastAsia="zh-CN"/>
        </w:rPr>
      </w:pPr>
      <w:r>
        <w:rPr>
          <w:rFonts w:hint="eastAsia" w:ascii="仿宋_GB2312" w:hAnsi="仿宋_GB2312" w:eastAsia="仿宋_GB2312" w:cs="仿宋_GB2312"/>
          <w:b/>
          <w:bCs/>
          <w:color w:val="auto"/>
          <w:sz w:val="32"/>
          <w:szCs w:val="32"/>
          <w:highlight w:val="none"/>
          <w:lang w:eastAsia="zh-CN"/>
        </w:rPr>
        <w:t>第六条</w:t>
      </w:r>
      <w:r>
        <w:rPr>
          <w:rFonts w:hint="eastAsia" w:ascii="仿宋_GB2312" w:hAnsi="仿宋_GB2312" w:eastAsia="仿宋_GB2312" w:cs="仿宋_GB2312"/>
          <w:color w:val="auto"/>
          <w:sz w:val="32"/>
          <w:szCs w:val="32"/>
          <w:highlight w:val="none"/>
          <w:lang w:eastAsia="zh-CN"/>
        </w:rPr>
        <w:t>　常规服务，</w:t>
      </w:r>
      <w:r>
        <w:rPr>
          <w:rFonts w:hint="eastAsia" w:ascii="仿宋_GB2312" w:hAnsi="仿宋_GB2312" w:eastAsia="仿宋_GB2312" w:cs="仿宋_GB2312"/>
          <w:color w:val="auto"/>
          <w:sz w:val="32"/>
          <w:szCs w:val="32"/>
          <w:highlight w:val="none"/>
          <w:lang w:val="en-US" w:eastAsia="zh-CN"/>
        </w:rPr>
        <w:t>是</w:t>
      </w:r>
      <w:r>
        <w:rPr>
          <w:rFonts w:hint="eastAsia" w:ascii="仿宋_GB2312" w:hAnsi="仿宋_GB2312" w:eastAsia="仿宋_GB2312" w:cs="仿宋_GB2312"/>
          <w:color w:val="auto"/>
          <w:sz w:val="32"/>
          <w:szCs w:val="32"/>
          <w:highlight w:val="none"/>
          <w:lang w:eastAsia="zh-CN"/>
        </w:rPr>
        <w:t>指完成招标流程所</w:t>
      </w:r>
      <w:r>
        <w:rPr>
          <w:rFonts w:hint="eastAsia" w:ascii="仿宋_GB2312" w:hAnsi="仿宋_GB2312" w:eastAsia="仿宋_GB2312" w:cs="仿宋_GB2312"/>
          <w:color w:val="auto"/>
          <w:sz w:val="32"/>
          <w:szCs w:val="32"/>
          <w:highlight w:val="none"/>
          <w:lang w:val="en-US" w:eastAsia="zh-CN"/>
        </w:rPr>
        <w:t>必须</w:t>
      </w:r>
      <w:r>
        <w:rPr>
          <w:rFonts w:hint="eastAsia" w:ascii="仿宋_GB2312" w:hAnsi="仿宋_GB2312" w:eastAsia="仿宋_GB2312" w:cs="仿宋_GB2312"/>
          <w:color w:val="auto"/>
          <w:sz w:val="32"/>
          <w:szCs w:val="32"/>
          <w:highlight w:val="none"/>
          <w:lang w:eastAsia="zh-CN"/>
        </w:rPr>
        <w:t>的</w:t>
      </w:r>
      <w:r>
        <w:rPr>
          <w:rFonts w:hint="eastAsia" w:ascii="仿宋_GB2312" w:hAnsi="仿宋_GB2312" w:eastAsia="仿宋_GB2312" w:cs="仿宋_GB2312"/>
          <w:color w:val="auto"/>
          <w:sz w:val="32"/>
          <w:szCs w:val="32"/>
          <w:highlight w:val="none"/>
          <w:lang w:val="en-US" w:eastAsia="zh-CN"/>
        </w:rPr>
        <w:t>标准化</w:t>
      </w:r>
      <w:r>
        <w:rPr>
          <w:rFonts w:hint="eastAsia" w:ascii="仿宋_GB2312" w:hAnsi="仿宋_GB2312" w:eastAsia="仿宋_GB2312" w:cs="仿宋_GB2312"/>
          <w:color w:val="auto"/>
          <w:sz w:val="32"/>
          <w:szCs w:val="32"/>
          <w:highlight w:val="none"/>
          <w:lang w:eastAsia="zh-CN"/>
        </w:rPr>
        <w:t>服务，</w:t>
      </w:r>
      <w:r>
        <w:rPr>
          <w:rFonts w:hint="eastAsia" w:ascii="仿宋_GB2312" w:hAnsi="仿宋_GB2312" w:eastAsia="仿宋_GB2312" w:cs="仿宋_GB2312"/>
          <w:color w:val="auto"/>
          <w:sz w:val="32"/>
          <w:szCs w:val="32"/>
          <w:highlight w:val="none"/>
          <w:lang w:val="en-US" w:eastAsia="zh-CN"/>
        </w:rPr>
        <w:t>各阶段包含的服务</w:t>
      </w:r>
      <w:r>
        <w:rPr>
          <w:rFonts w:hint="eastAsia" w:ascii="仿宋_GB2312" w:hAnsi="仿宋_GB2312" w:eastAsia="仿宋_GB2312" w:cs="仿宋_GB2312"/>
          <w:color w:val="auto"/>
          <w:sz w:val="32"/>
          <w:szCs w:val="32"/>
          <w:highlight w:val="none"/>
          <w:lang w:eastAsia="zh-CN"/>
        </w:rPr>
        <w:t>内容</w:t>
      </w:r>
      <w:r>
        <w:rPr>
          <w:rFonts w:hint="eastAsia" w:ascii="仿宋_GB2312" w:hAnsi="仿宋_GB2312" w:eastAsia="仿宋_GB2312" w:cs="仿宋_GB2312"/>
          <w:color w:val="auto"/>
          <w:sz w:val="32"/>
          <w:szCs w:val="32"/>
          <w:highlight w:val="none"/>
          <w:lang w:val="en-US" w:eastAsia="zh-CN"/>
        </w:rPr>
        <w:t>如下</w:t>
      </w:r>
      <w:r>
        <w:rPr>
          <w:rFonts w:hint="eastAsia" w:ascii="仿宋_GB2312" w:hAnsi="仿宋_GB2312" w:eastAsia="仿宋_GB2312" w:cs="仿宋_GB2312"/>
          <w:color w:val="auto"/>
          <w:sz w:val="32"/>
          <w:szCs w:val="32"/>
          <w:highlight w:val="none"/>
          <w:lang w:eastAsia="zh-CN"/>
        </w:rPr>
        <w:t>：</w:t>
      </w:r>
    </w:p>
    <w:p w14:paraId="59FFB932">
      <w:pPr>
        <w:numPr>
          <w:ilvl w:val="0"/>
          <w:numId w:val="1"/>
        </w:numPr>
        <w:kinsoku/>
        <w:autoSpaceDE/>
        <w:autoSpaceDN/>
        <w:adjustRightInd/>
        <w:snapToGrid/>
        <w:spacing w:beforeLines="0" w:line="324" w:lineRule="auto"/>
        <w:ind w:left="0" w:leftChars="0" w:firstLine="640" w:firstLineChars="200"/>
        <w:jc w:val="both"/>
        <w:textAlignment w:val="auto"/>
        <w:rPr>
          <w:rFonts w:hint="eastAsia" w:ascii="仿宋_GB2312" w:hAnsi="仿宋_GB2312" w:eastAsia="仿宋_GB2312" w:cs="仿宋_GB2312"/>
          <w:color w:val="auto"/>
          <w:sz w:val="32"/>
          <w:szCs w:val="32"/>
          <w:highlight w:val="none"/>
          <w:lang w:eastAsia="zh-CN"/>
        </w:rPr>
      </w:pPr>
      <w:r>
        <w:rPr>
          <w:rFonts w:hint="eastAsia" w:ascii="仿宋_GB2312" w:hAnsi="仿宋_GB2312" w:eastAsia="仿宋_GB2312" w:cs="仿宋_GB2312"/>
          <w:color w:val="auto"/>
          <w:sz w:val="32"/>
          <w:szCs w:val="32"/>
          <w:highlight w:val="none"/>
          <w:lang w:eastAsia="zh-CN"/>
        </w:rPr>
        <w:t>招标准备阶段：拟定招标方案、发布招标计划（如有）；</w:t>
      </w:r>
    </w:p>
    <w:p w14:paraId="661AC64C">
      <w:pPr>
        <w:numPr>
          <w:ilvl w:val="0"/>
          <w:numId w:val="1"/>
        </w:numPr>
        <w:kinsoku/>
        <w:autoSpaceDE/>
        <w:autoSpaceDN/>
        <w:adjustRightInd/>
        <w:snapToGrid/>
        <w:spacing w:beforeLines="0" w:line="324" w:lineRule="auto"/>
        <w:ind w:left="0" w:leftChars="0" w:firstLine="640" w:firstLineChars="200"/>
        <w:jc w:val="both"/>
        <w:textAlignment w:val="auto"/>
        <w:rPr>
          <w:rFonts w:hint="eastAsia" w:ascii="仿宋_GB2312" w:hAnsi="仿宋_GB2312" w:eastAsia="仿宋_GB2312" w:cs="仿宋_GB2312"/>
          <w:color w:val="auto"/>
          <w:sz w:val="32"/>
          <w:szCs w:val="32"/>
          <w:highlight w:val="none"/>
          <w:lang w:eastAsia="zh-CN"/>
        </w:rPr>
      </w:pPr>
      <w:r>
        <w:rPr>
          <w:rFonts w:hint="eastAsia" w:ascii="仿宋_GB2312" w:hAnsi="仿宋_GB2312" w:eastAsia="仿宋_GB2312" w:cs="仿宋_GB2312"/>
          <w:color w:val="auto"/>
          <w:sz w:val="32"/>
          <w:szCs w:val="32"/>
          <w:highlight w:val="none"/>
          <w:lang w:eastAsia="zh-CN"/>
        </w:rPr>
        <w:t>资格预审阶段（如有）：编制资格预审文件，发布资格预审公告，提供资格预审文件，对预审文件进行澄清修改，接收资格预审申请文件，组织资格审查，通知资格预审结果；</w:t>
      </w:r>
    </w:p>
    <w:p w14:paraId="7D513914">
      <w:pPr>
        <w:numPr>
          <w:ilvl w:val="0"/>
          <w:numId w:val="1"/>
        </w:numPr>
        <w:kinsoku/>
        <w:autoSpaceDE/>
        <w:autoSpaceDN/>
        <w:adjustRightInd/>
        <w:snapToGrid/>
        <w:spacing w:beforeLines="0" w:line="324" w:lineRule="auto"/>
        <w:ind w:left="0" w:leftChars="0" w:firstLine="640" w:firstLineChars="200"/>
        <w:jc w:val="both"/>
        <w:textAlignment w:val="auto"/>
        <w:rPr>
          <w:rFonts w:hint="eastAsia" w:ascii="仿宋_GB2312" w:hAnsi="仿宋_GB2312" w:eastAsia="仿宋_GB2312" w:cs="仿宋_GB2312"/>
          <w:color w:val="auto"/>
          <w:sz w:val="32"/>
          <w:szCs w:val="32"/>
          <w:highlight w:val="none"/>
          <w:lang w:eastAsia="zh-CN"/>
        </w:rPr>
      </w:pPr>
      <w:r>
        <w:rPr>
          <w:rFonts w:hint="eastAsia" w:ascii="仿宋_GB2312" w:hAnsi="仿宋_GB2312" w:eastAsia="仿宋_GB2312" w:cs="仿宋_GB2312"/>
          <w:color w:val="auto"/>
          <w:sz w:val="32"/>
          <w:szCs w:val="32"/>
          <w:highlight w:val="none"/>
          <w:lang w:eastAsia="zh-CN"/>
        </w:rPr>
        <w:t>招标投标阶段：编制招标文件，发出投标邀请书或发布招标公告，提供招标文件，组织潜在投标人踏勘现场，组织召开投标预备会，对招标文件进行澄清修改，收取投标保证金，接收投标文件；</w:t>
      </w:r>
    </w:p>
    <w:p w14:paraId="1E08D078">
      <w:pPr>
        <w:numPr>
          <w:ilvl w:val="0"/>
          <w:numId w:val="1"/>
        </w:numPr>
        <w:kinsoku/>
        <w:autoSpaceDE/>
        <w:autoSpaceDN/>
        <w:adjustRightInd/>
        <w:snapToGrid/>
        <w:spacing w:beforeLines="0" w:line="324" w:lineRule="auto"/>
        <w:ind w:left="0" w:leftChars="0" w:firstLine="640" w:firstLineChars="200"/>
        <w:jc w:val="both"/>
        <w:textAlignment w:val="auto"/>
        <w:rPr>
          <w:rFonts w:hint="eastAsia" w:ascii="仿宋_GB2312" w:hAnsi="仿宋_GB2312" w:eastAsia="仿宋_GB2312" w:cs="仿宋_GB2312"/>
          <w:color w:val="auto"/>
          <w:sz w:val="32"/>
          <w:szCs w:val="32"/>
          <w:highlight w:val="none"/>
          <w:lang w:eastAsia="zh-CN"/>
        </w:rPr>
      </w:pPr>
      <w:r>
        <w:rPr>
          <w:rFonts w:hint="eastAsia" w:ascii="仿宋_GB2312" w:hAnsi="仿宋_GB2312" w:eastAsia="仿宋_GB2312" w:cs="仿宋_GB2312"/>
          <w:color w:val="auto"/>
          <w:sz w:val="32"/>
          <w:szCs w:val="32"/>
          <w:highlight w:val="none"/>
          <w:lang w:eastAsia="zh-CN"/>
        </w:rPr>
        <w:t>开标、评标与定标阶段：组织开标、评标，公示中标候选人，协助定标，发布并公告中标结果；</w:t>
      </w:r>
    </w:p>
    <w:p w14:paraId="7F11B491">
      <w:pPr>
        <w:numPr>
          <w:ilvl w:val="0"/>
          <w:numId w:val="1"/>
        </w:numPr>
        <w:kinsoku/>
        <w:autoSpaceDE/>
        <w:autoSpaceDN/>
        <w:adjustRightInd/>
        <w:snapToGrid/>
        <w:spacing w:beforeLines="0" w:line="324" w:lineRule="auto"/>
        <w:ind w:left="0" w:leftChars="0" w:firstLine="640" w:firstLineChars="200"/>
        <w:jc w:val="both"/>
        <w:textAlignment w:val="auto"/>
        <w:rPr>
          <w:rFonts w:hint="eastAsia" w:ascii="仿宋_GB2312" w:hAnsi="仿宋_GB2312" w:eastAsia="仿宋_GB2312" w:cs="仿宋_GB2312"/>
          <w:color w:val="auto"/>
          <w:sz w:val="32"/>
          <w:szCs w:val="32"/>
          <w:highlight w:val="none"/>
          <w:lang w:eastAsia="zh-CN"/>
        </w:rPr>
      </w:pPr>
      <w:r>
        <w:rPr>
          <w:rFonts w:hint="eastAsia" w:ascii="仿宋_GB2312" w:hAnsi="仿宋_GB2312" w:eastAsia="仿宋_GB2312" w:cs="仿宋_GB2312"/>
          <w:color w:val="auto"/>
          <w:sz w:val="32"/>
          <w:szCs w:val="32"/>
          <w:highlight w:val="none"/>
          <w:lang w:eastAsia="zh-CN"/>
        </w:rPr>
        <w:t>合同签订及后续服务阶段（如有）：协助签订合同，退还投标保证金，编制招标投标情况报告，办理招标备案，收集及移交招标资料，协助处理异议或投诉；</w:t>
      </w:r>
    </w:p>
    <w:p w14:paraId="0DE5676E">
      <w:pPr>
        <w:numPr>
          <w:ilvl w:val="0"/>
          <w:numId w:val="1"/>
        </w:numPr>
        <w:kinsoku/>
        <w:autoSpaceDE/>
        <w:autoSpaceDN/>
        <w:adjustRightInd/>
        <w:snapToGrid/>
        <w:spacing w:beforeLines="0" w:line="324" w:lineRule="auto"/>
        <w:ind w:left="0" w:leftChars="0" w:firstLine="640" w:firstLineChars="200"/>
        <w:jc w:val="both"/>
        <w:textAlignment w:val="auto"/>
        <w:rPr>
          <w:rFonts w:hint="eastAsia" w:ascii="仿宋_GB2312" w:hAnsi="仿宋_GB2312" w:eastAsia="仿宋_GB2312" w:cs="仿宋_GB2312"/>
          <w:color w:val="auto"/>
          <w:sz w:val="32"/>
          <w:szCs w:val="32"/>
          <w:highlight w:val="none"/>
          <w:lang w:eastAsia="zh-CN"/>
        </w:rPr>
      </w:pPr>
      <w:r>
        <w:rPr>
          <w:rFonts w:hint="eastAsia" w:ascii="仿宋_GB2312" w:hAnsi="仿宋_GB2312" w:eastAsia="仿宋_GB2312" w:cs="仿宋_GB2312"/>
          <w:color w:val="auto"/>
          <w:sz w:val="32"/>
          <w:szCs w:val="32"/>
          <w:highlight w:val="none"/>
          <w:lang w:eastAsia="zh-CN"/>
        </w:rPr>
        <w:t>其他与招标程序相关的协调服务。</w:t>
      </w:r>
    </w:p>
    <w:p w14:paraId="5CCDD379">
      <w:pPr>
        <w:pStyle w:val="4"/>
        <w:kinsoku/>
        <w:spacing w:before="120" w:beforeLines="50" w:line="324" w:lineRule="auto"/>
        <w:ind w:firstLine="643" w:firstLineChars="200"/>
        <w:jc w:val="both"/>
        <w:rPr>
          <w:rFonts w:hint="eastAsia" w:ascii="仿宋_GB2312" w:hAnsi="仿宋_GB2312" w:eastAsia="仿宋_GB2312" w:cs="仿宋_GB2312"/>
          <w:color w:val="auto"/>
          <w:sz w:val="32"/>
          <w:szCs w:val="32"/>
          <w:highlight w:val="none"/>
          <w:lang w:eastAsia="zh-CN"/>
        </w:rPr>
      </w:pPr>
      <w:r>
        <w:rPr>
          <w:rFonts w:hint="eastAsia" w:ascii="仿宋_GB2312" w:hAnsi="仿宋_GB2312" w:eastAsia="仿宋_GB2312" w:cs="仿宋_GB2312"/>
          <w:b/>
          <w:bCs/>
          <w:color w:val="auto"/>
          <w:sz w:val="32"/>
          <w:szCs w:val="32"/>
          <w:highlight w:val="none"/>
          <w:lang w:eastAsia="zh-CN"/>
        </w:rPr>
        <w:t>第</w:t>
      </w:r>
      <w:r>
        <w:rPr>
          <w:rFonts w:hint="eastAsia" w:ascii="仿宋_GB2312" w:hAnsi="仿宋_GB2312" w:eastAsia="仿宋_GB2312" w:cs="仿宋_GB2312"/>
          <w:b/>
          <w:bCs/>
          <w:color w:val="auto"/>
          <w:sz w:val="32"/>
          <w:szCs w:val="32"/>
          <w:highlight w:val="none"/>
          <w:lang w:val="en-US" w:eastAsia="zh-CN"/>
        </w:rPr>
        <w:t>七</w:t>
      </w:r>
      <w:r>
        <w:rPr>
          <w:rFonts w:hint="eastAsia" w:ascii="仿宋_GB2312" w:hAnsi="仿宋_GB2312" w:eastAsia="仿宋_GB2312" w:cs="仿宋_GB2312"/>
          <w:b/>
          <w:bCs/>
          <w:color w:val="auto"/>
          <w:sz w:val="32"/>
          <w:szCs w:val="32"/>
          <w:highlight w:val="none"/>
          <w:lang w:eastAsia="zh-CN"/>
        </w:rPr>
        <w:t>条</w:t>
      </w:r>
      <w:r>
        <w:rPr>
          <w:rFonts w:hint="eastAsia" w:ascii="仿宋_GB2312" w:hAnsi="仿宋_GB2312" w:eastAsia="仿宋_GB2312" w:cs="仿宋_GB2312"/>
          <w:color w:val="auto"/>
          <w:sz w:val="32"/>
          <w:szCs w:val="32"/>
          <w:highlight w:val="none"/>
          <w:lang w:eastAsia="zh-CN"/>
        </w:rPr>
        <w:t>　常规服务费以中标金额为收费计算基数，根据招标项目的规模</w:t>
      </w:r>
      <w:r>
        <w:rPr>
          <w:rFonts w:hint="eastAsia" w:ascii="仿宋_GB2312" w:hAnsi="仿宋_GB2312" w:eastAsia="仿宋_GB2312" w:cs="仿宋_GB2312"/>
          <w:color w:val="auto"/>
          <w:sz w:val="32"/>
          <w:szCs w:val="32"/>
          <w:highlight w:val="none"/>
          <w:lang w:val="en-US" w:eastAsia="zh-CN"/>
        </w:rPr>
        <w:t>和</w:t>
      </w:r>
      <w:r>
        <w:rPr>
          <w:rFonts w:hint="eastAsia" w:ascii="仿宋_GB2312" w:hAnsi="仿宋_GB2312" w:eastAsia="仿宋_GB2312" w:cs="仿宋_GB2312"/>
          <w:color w:val="auto"/>
          <w:sz w:val="32"/>
          <w:szCs w:val="32"/>
          <w:highlight w:val="none"/>
          <w:lang w:eastAsia="zh-CN"/>
        </w:rPr>
        <w:t>类型，</w:t>
      </w:r>
      <w:r>
        <w:rPr>
          <w:rFonts w:hint="eastAsia" w:ascii="仿宋_GB2312" w:hAnsi="仿宋_GB2312" w:eastAsia="仿宋_GB2312" w:cs="仿宋_GB2312"/>
          <w:color w:val="auto"/>
          <w:sz w:val="32"/>
          <w:szCs w:val="32"/>
          <w:highlight w:val="none"/>
          <w:lang w:val="en-US" w:eastAsia="zh-CN"/>
        </w:rPr>
        <w:t>参考下表，</w:t>
      </w:r>
      <w:r>
        <w:rPr>
          <w:rFonts w:hint="eastAsia" w:ascii="仿宋_GB2312" w:hAnsi="仿宋_GB2312" w:eastAsia="仿宋_GB2312" w:cs="仿宋_GB2312"/>
          <w:color w:val="auto"/>
          <w:sz w:val="32"/>
          <w:szCs w:val="32"/>
          <w:highlight w:val="none"/>
          <w:lang w:eastAsia="zh-CN"/>
        </w:rPr>
        <w:t>采用差额定率累进法</w:t>
      </w:r>
      <w:r>
        <w:rPr>
          <w:rFonts w:hint="eastAsia" w:ascii="仿宋_GB2312" w:hAnsi="仿宋_GB2312" w:eastAsia="仿宋_GB2312" w:cs="仿宋_GB2312"/>
          <w:color w:val="auto"/>
          <w:sz w:val="32"/>
          <w:szCs w:val="32"/>
          <w:highlight w:val="none"/>
          <w:lang w:val="en-US" w:eastAsia="zh-CN"/>
        </w:rPr>
        <w:t>计</w:t>
      </w:r>
      <w:r>
        <w:rPr>
          <w:rFonts w:hint="eastAsia" w:ascii="仿宋_GB2312" w:hAnsi="仿宋_GB2312" w:eastAsia="仿宋_GB2312" w:cs="仿宋_GB2312"/>
          <w:color w:val="auto"/>
          <w:sz w:val="32"/>
          <w:szCs w:val="32"/>
          <w:highlight w:val="none"/>
          <w:lang w:eastAsia="zh-CN"/>
        </w:rPr>
        <w:t>算。</w:t>
      </w:r>
      <w:bookmarkEnd w:id="2"/>
      <w:r>
        <w:rPr>
          <w:rFonts w:hint="eastAsia" w:ascii="仿宋_GB2312" w:hAnsi="仿宋_GB2312" w:eastAsia="仿宋_GB2312" w:cs="仿宋_GB2312"/>
          <w:color w:val="auto"/>
          <w:sz w:val="32"/>
          <w:szCs w:val="32"/>
          <w:highlight w:val="none"/>
          <w:lang w:eastAsia="zh-CN"/>
        </w:rPr>
        <w:t>本表费率系基于市场调研和行业实践形成，反映当前市场常见水平，供双方协商定价时参考。</w:t>
      </w:r>
    </w:p>
    <w:tbl>
      <w:tblPr>
        <w:tblStyle w:val="13"/>
        <w:tblW w:w="5128" w:type="pct"/>
        <w:tblInd w:w="-18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top w:w="0" w:type="dxa"/>
          <w:left w:w="0" w:type="dxa"/>
          <w:bottom w:w="0" w:type="dxa"/>
          <w:right w:w="0" w:type="dxa"/>
        </w:tblCellMar>
      </w:tblPr>
      <w:tblGrid>
        <w:gridCol w:w="4926"/>
        <w:gridCol w:w="1254"/>
        <w:gridCol w:w="1271"/>
        <w:gridCol w:w="1277"/>
      </w:tblGrid>
      <w:tr w14:paraId="63121A2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0" w:hRule="atLeast"/>
        </w:trPr>
        <w:tc>
          <w:tcPr>
            <w:tcW w:w="2821" w:type="pct"/>
            <w:vAlign w:val="center"/>
          </w:tcPr>
          <w:p w14:paraId="48501EB0">
            <w:pPr>
              <w:pStyle w:val="14"/>
              <w:kinsoku/>
              <w:spacing w:before="33"/>
              <w:jc w:val="center"/>
              <w:rPr>
                <w:rFonts w:hint="eastAsia" w:ascii="Times New Roman" w:hAnsi="Times New Roman" w:eastAsia="仿宋" w:cs="Times New Roman"/>
                <w:b/>
                <w:bCs/>
                <w:color w:val="auto"/>
                <w:spacing w:val="6"/>
                <w:sz w:val="28"/>
                <w:szCs w:val="28"/>
                <w:highlight w:val="none"/>
                <w:lang w:eastAsia="zh-CN"/>
              </w:rPr>
            </w:pPr>
            <w:r>
              <w:rPr>
                <w:rFonts w:hint="eastAsia" w:ascii="仿宋_GB2312" w:hAnsi="仿宋_GB2312" w:eastAsia="仿宋_GB2312" w:cs="仿宋_GB2312"/>
                <w:color w:val="auto"/>
                <w:sz w:val="32"/>
                <w:szCs w:val="29"/>
                <w:highlight w:val="none"/>
              </w:rPr>
              <mc:AlternateContent>
                <mc:Choice Requires="wps">
                  <w:drawing>
                    <wp:anchor distT="0" distB="0" distL="114300" distR="114300" simplePos="0" relativeHeight="251659264" behindDoc="0" locked="0" layoutInCell="1" allowOverlap="1">
                      <wp:simplePos x="0" y="0"/>
                      <wp:positionH relativeFrom="column">
                        <wp:posOffset>1447165</wp:posOffset>
                      </wp:positionH>
                      <wp:positionV relativeFrom="paragraph">
                        <wp:posOffset>4445</wp:posOffset>
                      </wp:positionV>
                      <wp:extent cx="1672590" cy="1207135"/>
                      <wp:effectExtent l="2540" t="3810" r="20320" b="8255"/>
                      <wp:wrapNone/>
                      <wp:docPr id="1" name="直接连接符 1"/>
                      <wp:cNvGraphicFramePr/>
                      <a:graphic xmlns:a="http://schemas.openxmlformats.org/drawingml/2006/main">
                        <a:graphicData uri="http://schemas.microsoft.com/office/word/2010/wordprocessingShape">
                          <wps:wsp>
                            <wps:cNvCnPr/>
                            <wps:spPr>
                              <a:xfrm>
                                <a:off x="0" y="0"/>
                                <a:ext cx="1672590" cy="120713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_x0000_s1026" o:spid="_x0000_s1026" o:spt="20" style="position:absolute;left:0pt;margin-left:113.95pt;margin-top:0.35pt;height:95.05pt;width:131.7pt;z-index:251659264;mso-width-relative:page;mso-height-relative:page;" filled="f" stroked="t" coordsize="21600,21600" o:gfxdata="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">
                      <v:fill on="f" focussize="0,0"/>
                      <v:stroke color="#000000 [3200]" joinstyle="round"/>
                      <v:imagedata o:title=""/>
                      <o:lock v:ext="edit" aspectratio="f"/>
                    </v:line>
                  </w:pict>
                </mc:Fallback>
              </mc:AlternateContent>
            </w:r>
            <w:r>
              <w:rPr>
                <w:rFonts w:hint="eastAsia" w:ascii="Times New Roman" w:hAnsi="Times New Roman" w:eastAsia="仿宋" w:cs="Times New Roman"/>
                <w:b/>
                <w:bCs/>
                <w:color w:val="auto"/>
                <w:spacing w:val="6"/>
                <w:sz w:val="28"/>
                <w:szCs w:val="28"/>
                <w:highlight w:val="none"/>
                <w:lang w:eastAsia="zh-CN"/>
              </w:rPr>
              <w:t xml:space="preserve"> </w:t>
            </w:r>
          </w:p>
          <w:p w14:paraId="0E7A90CE">
            <w:pPr>
              <w:pStyle w:val="14"/>
              <w:kinsoku/>
              <w:spacing w:before="33"/>
              <w:jc w:val="both"/>
              <w:rPr>
                <w:rFonts w:hint="eastAsia" w:ascii="Times New Roman" w:hAnsi="Times New Roman" w:eastAsia="仿宋" w:cs="Times New Roman"/>
                <w:b/>
                <w:bCs/>
                <w:color w:val="auto"/>
                <w:spacing w:val="6"/>
                <w:sz w:val="28"/>
                <w:szCs w:val="28"/>
                <w:highlight w:val="none"/>
                <w:lang w:eastAsia="zh-CN"/>
              </w:rPr>
            </w:pPr>
            <w:r>
              <w:rPr>
                <w:rFonts w:hint="eastAsia" w:ascii="微软雅黑" w:hAnsi="微软雅黑" w:eastAsia="微软雅黑" w:cs="微软雅黑"/>
                <w:color w:val="auto"/>
                <w:sz w:val="32"/>
                <w:szCs w:val="29"/>
                <w:highlight w:val="none"/>
              </w:rPr>
              <mc:AlternateContent>
                <mc:Choice Requires="wps">
                  <w:drawing>
                    <wp:anchor distT="0" distB="0" distL="114300" distR="114300" simplePos="0" relativeHeight="251660288" behindDoc="0" locked="0" layoutInCell="1" allowOverlap="1">
                      <wp:simplePos x="0" y="0"/>
                      <wp:positionH relativeFrom="column">
                        <wp:posOffset>-635</wp:posOffset>
                      </wp:positionH>
                      <wp:positionV relativeFrom="paragraph">
                        <wp:posOffset>128270</wp:posOffset>
                      </wp:positionV>
                      <wp:extent cx="3128010" cy="858520"/>
                      <wp:effectExtent l="1270" t="4445" r="13970" b="13335"/>
                      <wp:wrapNone/>
                      <wp:docPr id="2" name="直接连接符 2"/>
                      <wp:cNvGraphicFramePr/>
                      <a:graphic xmlns:a="http://schemas.openxmlformats.org/drawingml/2006/main">
                        <a:graphicData uri="http://schemas.microsoft.com/office/word/2010/wordprocessingShape">
                          <wps:wsp>
                            <wps:cNvCnPr/>
                            <wps:spPr>
                              <a:xfrm>
                                <a:off x="0" y="0"/>
                                <a:ext cx="3128010" cy="85852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_x0000_s1026" o:spid="_x0000_s1026" o:spt="20" style="position:absolute;left:0pt;margin-left:-0.05pt;margin-top:10.1pt;height:67.6pt;width:246.3pt;z-index:251660288;mso-width-relative:page;mso-height-relative:page;" filled="f" stroked="t" coordsize="21600,21600" o:gfxdata="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">
                      <v:fill on="f" focussize="0,0"/>
                      <v:stroke color="#000000 [3200]" joinstyle="round"/>
                      <v:imagedata o:title=""/>
                      <o:lock v:ext="edit" aspectratio="f"/>
                    </v:line>
                  </w:pict>
                </mc:Fallback>
              </mc:AlternateContent>
            </w:r>
            <w:r>
              <w:rPr>
                <w:rFonts w:hint="eastAsia" w:ascii="Times New Roman" w:hAnsi="Times New Roman" w:eastAsia="仿宋" w:cs="Times New Roman"/>
                <w:b/>
                <w:bCs/>
                <w:color w:val="auto"/>
                <w:spacing w:val="6"/>
                <w:sz w:val="28"/>
                <w:szCs w:val="28"/>
                <w:highlight w:val="none"/>
                <w:lang w:eastAsia="zh-CN"/>
              </w:rPr>
              <w:t xml:space="preserve">                                 </w:t>
            </w:r>
            <w:r>
              <w:rPr>
                <w:rFonts w:hint="eastAsia" w:ascii="Times New Roman" w:hAnsi="Times New Roman" w:eastAsia="仿宋" w:cs="Times New Roman"/>
                <w:b/>
                <w:bCs/>
                <w:color w:val="auto"/>
                <w:spacing w:val="6"/>
                <w:sz w:val="28"/>
                <w:szCs w:val="28"/>
                <w:highlight w:val="none"/>
                <w:lang w:val="en-US" w:eastAsia="zh-CN"/>
              </w:rPr>
              <w:t xml:space="preserve">      </w:t>
            </w:r>
            <w:r>
              <w:rPr>
                <w:rFonts w:hint="eastAsia" w:ascii="Times New Roman" w:hAnsi="Times New Roman" w:eastAsia="仿宋" w:cs="Times New Roman"/>
                <w:b/>
                <w:bCs/>
                <w:color w:val="auto"/>
                <w:spacing w:val="6"/>
                <w:sz w:val="28"/>
                <w:szCs w:val="28"/>
                <w:highlight w:val="none"/>
                <w:lang w:eastAsia="zh-CN"/>
              </w:rPr>
              <w:t xml:space="preserve">        服务类型</w:t>
            </w:r>
          </w:p>
          <w:p w14:paraId="39134721">
            <w:pPr>
              <w:pStyle w:val="14"/>
              <w:kinsoku/>
              <w:spacing w:before="33"/>
              <w:ind w:left="30"/>
              <w:jc w:val="center"/>
              <w:rPr>
                <w:rFonts w:hint="eastAsia" w:ascii="Times New Roman" w:hAnsi="Times New Roman" w:eastAsia="仿宋" w:cs="Times New Roman"/>
                <w:b/>
                <w:bCs/>
                <w:color w:val="auto"/>
                <w:spacing w:val="6"/>
                <w:sz w:val="28"/>
                <w:szCs w:val="28"/>
                <w:highlight w:val="none"/>
                <w:lang w:eastAsia="zh-CN"/>
              </w:rPr>
            </w:pPr>
            <w:r>
              <w:rPr>
                <w:rFonts w:hint="eastAsia" w:ascii="Times New Roman" w:hAnsi="Times New Roman" w:eastAsia="仿宋" w:cs="Times New Roman"/>
                <w:b/>
                <w:bCs/>
                <w:color w:val="auto"/>
                <w:spacing w:val="6"/>
                <w:sz w:val="28"/>
                <w:szCs w:val="28"/>
                <w:highlight w:val="none"/>
                <w:lang w:eastAsia="zh-CN"/>
              </w:rPr>
              <w:t xml:space="preserve"> 费率</w:t>
            </w:r>
          </w:p>
          <w:p w14:paraId="5AD1FFEA">
            <w:pPr>
              <w:pStyle w:val="14"/>
              <w:kinsoku/>
              <w:spacing w:before="33"/>
              <w:ind w:left="30"/>
              <w:jc w:val="center"/>
              <w:rPr>
                <w:rFonts w:hint="eastAsia" w:ascii="Times New Roman" w:hAnsi="Times New Roman" w:eastAsia="仿宋" w:cs="Times New Roman"/>
                <w:b/>
                <w:bCs/>
                <w:color w:val="auto"/>
                <w:spacing w:val="6"/>
                <w:sz w:val="28"/>
                <w:szCs w:val="28"/>
                <w:highlight w:val="none"/>
                <w:lang w:eastAsia="zh-CN"/>
              </w:rPr>
            </w:pPr>
          </w:p>
          <w:p w14:paraId="722B15A0">
            <w:pPr>
              <w:pStyle w:val="14"/>
              <w:kinsoku/>
              <w:spacing w:before="33"/>
              <w:ind w:left="30" w:firstLine="879" w:firstLineChars="300"/>
              <w:jc w:val="both"/>
              <w:rPr>
                <w:rFonts w:hint="eastAsia" w:ascii="Times New Roman" w:hAnsi="Times New Roman" w:eastAsia="仿宋" w:cs="Times New Roman"/>
                <w:b/>
                <w:bCs/>
                <w:color w:val="auto"/>
                <w:spacing w:val="6"/>
                <w:sz w:val="28"/>
                <w:szCs w:val="28"/>
                <w:highlight w:val="none"/>
                <w:lang w:eastAsia="zh-CN"/>
              </w:rPr>
            </w:pPr>
            <w:r>
              <w:rPr>
                <w:rFonts w:hint="eastAsia" w:ascii="Times New Roman" w:hAnsi="Times New Roman" w:eastAsia="仿宋" w:cs="Times New Roman"/>
                <w:b/>
                <w:bCs/>
                <w:color w:val="auto"/>
                <w:spacing w:val="6"/>
                <w:sz w:val="28"/>
                <w:szCs w:val="28"/>
                <w:highlight w:val="none"/>
                <w:lang w:eastAsia="zh-CN"/>
              </w:rPr>
              <w:t>中标金额</w:t>
            </w:r>
          </w:p>
        </w:tc>
        <w:tc>
          <w:tcPr>
            <w:tcW w:w="718" w:type="pct"/>
            <w:vAlign w:val="center"/>
          </w:tcPr>
          <w:p w14:paraId="622CD98D">
            <w:pPr>
              <w:pStyle w:val="14"/>
              <w:kinsoku/>
              <w:spacing w:before="33"/>
              <w:ind w:left="30"/>
              <w:jc w:val="center"/>
              <w:rPr>
                <w:rFonts w:hint="eastAsia" w:ascii="Times New Roman" w:hAnsi="Times New Roman" w:eastAsia="仿宋" w:cs="Times New Roman"/>
                <w:color w:val="auto"/>
                <w:spacing w:val="6"/>
                <w:sz w:val="28"/>
                <w:szCs w:val="28"/>
                <w:highlight w:val="none"/>
              </w:rPr>
            </w:pPr>
            <w:r>
              <w:rPr>
                <w:rFonts w:hint="eastAsia" w:ascii="Times New Roman" w:hAnsi="Times New Roman" w:eastAsia="仿宋" w:cs="Times New Roman"/>
                <w:b/>
                <w:bCs/>
                <w:color w:val="auto"/>
                <w:spacing w:val="6"/>
                <w:sz w:val="28"/>
                <w:szCs w:val="28"/>
                <w:highlight w:val="none"/>
              </w:rPr>
              <w:t>货物招标</w:t>
            </w:r>
          </w:p>
        </w:tc>
        <w:tc>
          <w:tcPr>
            <w:tcW w:w="728" w:type="pct"/>
            <w:vAlign w:val="center"/>
          </w:tcPr>
          <w:p w14:paraId="1E48EC8D">
            <w:pPr>
              <w:pStyle w:val="14"/>
              <w:kinsoku/>
              <w:spacing w:before="33"/>
              <w:ind w:left="17"/>
              <w:jc w:val="center"/>
              <w:rPr>
                <w:rFonts w:hint="eastAsia" w:ascii="Times New Roman" w:hAnsi="Times New Roman" w:eastAsia="仿宋" w:cs="Times New Roman"/>
                <w:color w:val="auto"/>
                <w:spacing w:val="6"/>
                <w:sz w:val="28"/>
                <w:szCs w:val="28"/>
                <w:highlight w:val="none"/>
              </w:rPr>
            </w:pPr>
            <w:r>
              <w:rPr>
                <w:rFonts w:hint="eastAsia" w:ascii="Times New Roman" w:hAnsi="Times New Roman" w:eastAsia="仿宋" w:cs="Times New Roman"/>
                <w:b/>
                <w:bCs/>
                <w:color w:val="auto"/>
                <w:spacing w:val="6"/>
                <w:sz w:val="28"/>
                <w:szCs w:val="28"/>
                <w:highlight w:val="none"/>
              </w:rPr>
              <w:t>服务招标</w:t>
            </w:r>
          </w:p>
        </w:tc>
        <w:tc>
          <w:tcPr>
            <w:tcW w:w="731" w:type="pct"/>
            <w:vAlign w:val="center"/>
          </w:tcPr>
          <w:p w14:paraId="6BE92797">
            <w:pPr>
              <w:pStyle w:val="14"/>
              <w:kinsoku/>
              <w:spacing w:before="32"/>
              <w:ind w:left="8"/>
              <w:jc w:val="center"/>
              <w:rPr>
                <w:rFonts w:hint="eastAsia" w:ascii="Times New Roman" w:hAnsi="Times New Roman" w:eastAsia="仿宋" w:cs="Times New Roman"/>
                <w:color w:val="auto"/>
                <w:spacing w:val="6"/>
                <w:sz w:val="28"/>
                <w:szCs w:val="28"/>
                <w:highlight w:val="none"/>
              </w:rPr>
            </w:pPr>
            <w:r>
              <w:rPr>
                <w:rFonts w:hint="eastAsia" w:ascii="Times New Roman" w:hAnsi="Times New Roman" w:eastAsia="仿宋" w:cs="Times New Roman"/>
                <w:b/>
                <w:bCs/>
                <w:color w:val="auto"/>
                <w:spacing w:val="6"/>
                <w:sz w:val="28"/>
                <w:szCs w:val="28"/>
                <w:highlight w:val="none"/>
              </w:rPr>
              <w:t>工程招标</w:t>
            </w:r>
          </w:p>
        </w:tc>
      </w:tr>
      <w:tr w14:paraId="46D46D3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3" w:hRule="atLeast"/>
        </w:trPr>
        <w:tc>
          <w:tcPr>
            <w:tcW w:w="2821" w:type="pct"/>
            <w:vAlign w:val="center"/>
          </w:tcPr>
          <w:p w14:paraId="23FFA9B4">
            <w:pPr>
              <w:pStyle w:val="14"/>
              <w:kinsoku/>
              <w:jc w:val="center"/>
              <w:rPr>
                <w:rFonts w:hint="eastAsia" w:ascii="Times New Roman" w:hAnsi="Times New Roman" w:eastAsia="仿宋" w:cs="Times New Roman"/>
                <w:color w:val="auto"/>
                <w:spacing w:val="6"/>
                <w:sz w:val="28"/>
                <w:szCs w:val="28"/>
                <w:highlight w:val="none"/>
              </w:rPr>
            </w:pPr>
            <w:r>
              <w:rPr>
                <w:rFonts w:hint="eastAsia" w:ascii="Times New Roman" w:hAnsi="Times New Roman" w:eastAsia="仿宋" w:cs="Times New Roman"/>
                <w:color w:val="auto"/>
                <w:spacing w:val="6"/>
                <w:sz w:val="28"/>
                <w:szCs w:val="28"/>
                <w:highlight w:val="none"/>
              </w:rPr>
              <w:t>100万元以下(含100万元)</w:t>
            </w:r>
          </w:p>
        </w:tc>
        <w:tc>
          <w:tcPr>
            <w:tcW w:w="718" w:type="pct"/>
            <w:vAlign w:val="center"/>
          </w:tcPr>
          <w:p w14:paraId="4A5D446C">
            <w:pPr>
              <w:pStyle w:val="14"/>
              <w:kinsoku/>
              <w:jc w:val="center"/>
              <w:rPr>
                <w:rFonts w:hint="eastAsia" w:ascii="Times New Roman" w:hAnsi="Times New Roman" w:eastAsia="仿宋" w:cs="Times New Roman"/>
                <w:color w:val="auto"/>
                <w:spacing w:val="6"/>
                <w:sz w:val="28"/>
                <w:szCs w:val="28"/>
                <w:highlight w:val="none"/>
              </w:rPr>
            </w:pPr>
            <w:r>
              <w:rPr>
                <w:rFonts w:hint="eastAsia" w:ascii="Times New Roman" w:hAnsi="Times New Roman" w:eastAsia="仿宋" w:cs="Times New Roman"/>
                <w:color w:val="auto"/>
                <w:spacing w:val="6"/>
                <w:sz w:val="28"/>
                <w:szCs w:val="28"/>
                <w:highlight w:val="none"/>
              </w:rPr>
              <w:t>1.5%</w:t>
            </w:r>
          </w:p>
        </w:tc>
        <w:tc>
          <w:tcPr>
            <w:tcW w:w="728" w:type="pct"/>
            <w:vAlign w:val="center"/>
          </w:tcPr>
          <w:p w14:paraId="37CE8DB6">
            <w:pPr>
              <w:pStyle w:val="14"/>
              <w:kinsoku/>
              <w:jc w:val="center"/>
              <w:rPr>
                <w:rFonts w:hint="eastAsia" w:ascii="Times New Roman" w:hAnsi="Times New Roman" w:eastAsia="仿宋" w:cs="Times New Roman"/>
                <w:color w:val="auto"/>
                <w:spacing w:val="6"/>
                <w:sz w:val="28"/>
                <w:szCs w:val="28"/>
                <w:highlight w:val="none"/>
              </w:rPr>
            </w:pPr>
            <w:r>
              <w:rPr>
                <w:rFonts w:hint="eastAsia" w:ascii="Times New Roman" w:hAnsi="Times New Roman" w:eastAsia="仿宋" w:cs="Times New Roman"/>
                <w:color w:val="auto"/>
                <w:spacing w:val="6"/>
                <w:sz w:val="28"/>
                <w:szCs w:val="28"/>
                <w:highlight w:val="none"/>
              </w:rPr>
              <w:t>1.5%</w:t>
            </w:r>
          </w:p>
        </w:tc>
        <w:tc>
          <w:tcPr>
            <w:tcW w:w="731" w:type="pct"/>
            <w:vAlign w:val="center"/>
          </w:tcPr>
          <w:p w14:paraId="69DBD819">
            <w:pPr>
              <w:pStyle w:val="14"/>
              <w:kinsoku/>
              <w:jc w:val="center"/>
              <w:rPr>
                <w:rFonts w:hint="eastAsia" w:ascii="Times New Roman" w:hAnsi="Times New Roman" w:eastAsia="仿宋" w:cs="Times New Roman"/>
                <w:color w:val="auto"/>
                <w:spacing w:val="6"/>
                <w:sz w:val="28"/>
                <w:szCs w:val="28"/>
                <w:highlight w:val="none"/>
              </w:rPr>
            </w:pPr>
            <w:r>
              <w:rPr>
                <w:rFonts w:hint="eastAsia" w:ascii="Times New Roman" w:hAnsi="Times New Roman" w:eastAsia="仿宋" w:cs="Times New Roman"/>
                <w:color w:val="auto"/>
                <w:spacing w:val="6"/>
                <w:sz w:val="28"/>
                <w:szCs w:val="28"/>
                <w:highlight w:val="none"/>
              </w:rPr>
              <w:t>1.</w:t>
            </w:r>
            <w:r>
              <w:rPr>
                <w:rFonts w:hint="eastAsia" w:ascii="Times New Roman" w:hAnsi="Times New Roman" w:eastAsia="仿宋" w:cs="Times New Roman"/>
                <w:color w:val="auto"/>
                <w:spacing w:val="6"/>
                <w:sz w:val="28"/>
                <w:szCs w:val="28"/>
                <w:highlight w:val="none"/>
                <w:lang w:eastAsia="zh-CN"/>
              </w:rPr>
              <w:t>0</w:t>
            </w:r>
            <w:r>
              <w:rPr>
                <w:rFonts w:hint="eastAsia" w:ascii="Times New Roman" w:hAnsi="Times New Roman" w:eastAsia="仿宋" w:cs="Times New Roman"/>
                <w:color w:val="auto"/>
                <w:spacing w:val="6"/>
                <w:sz w:val="28"/>
                <w:szCs w:val="28"/>
                <w:highlight w:val="none"/>
              </w:rPr>
              <w:t>%</w:t>
            </w:r>
          </w:p>
        </w:tc>
      </w:tr>
      <w:tr w14:paraId="739AF36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3" w:hRule="atLeast"/>
        </w:trPr>
        <w:tc>
          <w:tcPr>
            <w:tcW w:w="2821" w:type="pct"/>
            <w:vAlign w:val="center"/>
          </w:tcPr>
          <w:p w14:paraId="331ED920">
            <w:pPr>
              <w:pStyle w:val="14"/>
              <w:kinsoku/>
              <w:jc w:val="center"/>
              <w:rPr>
                <w:rFonts w:hint="eastAsia" w:ascii="Times New Roman" w:hAnsi="Times New Roman" w:eastAsia="仿宋" w:cs="Times New Roman"/>
                <w:color w:val="auto"/>
                <w:spacing w:val="6"/>
                <w:sz w:val="28"/>
                <w:szCs w:val="28"/>
                <w:highlight w:val="none"/>
              </w:rPr>
            </w:pPr>
            <w:r>
              <w:rPr>
                <w:rFonts w:hint="eastAsia" w:ascii="Times New Roman" w:hAnsi="Times New Roman" w:eastAsia="仿宋" w:cs="Times New Roman"/>
                <w:color w:val="auto"/>
                <w:spacing w:val="6"/>
                <w:sz w:val="28"/>
                <w:szCs w:val="28"/>
                <w:highlight w:val="none"/>
              </w:rPr>
              <w:t>100万元-500万元(含500万元)</w:t>
            </w:r>
          </w:p>
        </w:tc>
        <w:tc>
          <w:tcPr>
            <w:tcW w:w="718" w:type="pct"/>
            <w:vAlign w:val="center"/>
          </w:tcPr>
          <w:p w14:paraId="462CA1E0">
            <w:pPr>
              <w:pStyle w:val="14"/>
              <w:kinsoku/>
              <w:jc w:val="center"/>
              <w:rPr>
                <w:rFonts w:hint="eastAsia" w:ascii="Times New Roman" w:hAnsi="Times New Roman" w:eastAsia="仿宋" w:cs="Times New Roman"/>
                <w:color w:val="auto"/>
                <w:spacing w:val="6"/>
                <w:sz w:val="28"/>
                <w:szCs w:val="28"/>
                <w:highlight w:val="none"/>
              </w:rPr>
            </w:pPr>
            <w:r>
              <w:rPr>
                <w:rFonts w:hint="eastAsia" w:ascii="Times New Roman" w:hAnsi="Times New Roman" w:eastAsia="仿宋" w:cs="Times New Roman"/>
                <w:color w:val="auto"/>
                <w:spacing w:val="6"/>
                <w:sz w:val="28"/>
                <w:szCs w:val="28"/>
                <w:highlight w:val="none"/>
              </w:rPr>
              <w:t>1.</w:t>
            </w:r>
            <w:r>
              <w:rPr>
                <w:rFonts w:hint="eastAsia" w:ascii="Times New Roman" w:hAnsi="Times New Roman" w:eastAsia="仿宋" w:cs="Times New Roman"/>
                <w:color w:val="auto"/>
                <w:spacing w:val="6"/>
                <w:sz w:val="28"/>
                <w:szCs w:val="28"/>
                <w:highlight w:val="none"/>
                <w:lang w:eastAsia="zh-CN"/>
              </w:rPr>
              <w:t>1</w:t>
            </w:r>
            <w:r>
              <w:rPr>
                <w:rFonts w:hint="eastAsia" w:ascii="Times New Roman" w:hAnsi="Times New Roman" w:eastAsia="仿宋" w:cs="Times New Roman"/>
                <w:color w:val="auto"/>
                <w:spacing w:val="6"/>
                <w:sz w:val="28"/>
                <w:szCs w:val="28"/>
                <w:highlight w:val="none"/>
              </w:rPr>
              <w:t>%</w:t>
            </w:r>
          </w:p>
        </w:tc>
        <w:tc>
          <w:tcPr>
            <w:tcW w:w="728" w:type="pct"/>
            <w:vAlign w:val="center"/>
          </w:tcPr>
          <w:p w14:paraId="44496658">
            <w:pPr>
              <w:pStyle w:val="14"/>
              <w:kinsoku/>
              <w:jc w:val="center"/>
              <w:rPr>
                <w:rFonts w:hint="eastAsia" w:ascii="Times New Roman" w:hAnsi="Times New Roman" w:eastAsia="仿宋" w:cs="Times New Roman"/>
                <w:color w:val="auto"/>
                <w:spacing w:val="6"/>
                <w:sz w:val="28"/>
                <w:szCs w:val="28"/>
                <w:highlight w:val="none"/>
              </w:rPr>
            </w:pPr>
            <w:r>
              <w:rPr>
                <w:rFonts w:hint="eastAsia" w:ascii="Times New Roman" w:hAnsi="Times New Roman" w:eastAsia="仿宋" w:cs="Times New Roman"/>
                <w:color w:val="auto"/>
                <w:spacing w:val="6"/>
                <w:sz w:val="28"/>
                <w:szCs w:val="28"/>
                <w:highlight w:val="none"/>
              </w:rPr>
              <w:t>0.8%</w:t>
            </w:r>
          </w:p>
        </w:tc>
        <w:tc>
          <w:tcPr>
            <w:tcW w:w="731" w:type="pct"/>
            <w:vAlign w:val="center"/>
          </w:tcPr>
          <w:p w14:paraId="134D6DF1">
            <w:pPr>
              <w:pStyle w:val="14"/>
              <w:kinsoku/>
              <w:jc w:val="center"/>
              <w:rPr>
                <w:rFonts w:hint="eastAsia" w:ascii="Times New Roman" w:hAnsi="Times New Roman" w:eastAsia="仿宋" w:cs="Times New Roman"/>
                <w:color w:val="auto"/>
                <w:spacing w:val="6"/>
                <w:sz w:val="28"/>
                <w:szCs w:val="28"/>
                <w:highlight w:val="none"/>
              </w:rPr>
            </w:pPr>
            <w:r>
              <w:rPr>
                <w:rFonts w:hint="eastAsia" w:ascii="Times New Roman" w:hAnsi="Times New Roman" w:eastAsia="仿宋" w:cs="Times New Roman"/>
                <w:color w:val="auto"/>
                <w:spacing w:val="6"/>
                <w:sz w:val="28"/>
                <w:szCs w:val="28"/>
                <w:highlight w:val="none"/>
                <w:lang w:eastAsia="zh-CN"/>
              </w:rPr>
              <w:t>0</w:t>
            </w:r>
            <w:r>
              <w:rPr>
                <w:rFonts w:hint="eastAsia" w:ascii="Times New Roman" w:hAnsi="Times New Roman" w:eastAsia="仿宋" w:cs="Times New Roman"/>
                <w:color w:val="auto"/>
                <w:spacing w:val="6"/>
                <w:sz w:val="28"/>
                <w:szCs w:val="28"/>
                <w:highlight w:val="none"/>
              </w:rPr>
              <w:t>.</w:t>
            </w:r>
            <w:r>
              <w:rPr>
                <w:rFonts w:hint="eastAsia" w:ascii="Times New Roman" w:hAnsi="Times New Roman" w:eastAsia="仿宋" w:cs="Times New Roman"/>
                <w:color w:val="auto"/>
                <w:spacing w:val="6"/>
                <w:sz w:val="28"/>
                <w:szCs w:val="28"/>
                <w:highlight w:val="none"/>
                <w:lang w:eastAsia="zh-CN"/>
              </w:rPr>
              <w:t>7</w:t>
            </w:r>
            <w:r>
              <w:rPr>
                <w:rFonts w:hint="eastAsia" w:ascii="Times New Roman" w:hAnsi="Times New Roman" w:eastAsia="仿宋" w:cs="Times New Roman"/>
                <w:color w:val="auto"/>
                <w:spacing w:val="6"/>
                <w:sz w:val="28"/>
                <w:szCs w:val="28"/>
                <w:highlight w:val="none"/>
              </w:rPr>
              <w:t>%</w:t>
            </w:r>
          </w:p>
        </w:tc>
      </w:tr>
      <w:tr w14:paraId="17D6753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3" w:hRule="atLeast"/>
        </w:trPr>
        <w:tc>
          <w:tcPr>
            <w:tcW w:w="2821" w:type="pct"/>
            <w:vAlign w:val="center"/>
          </w:tcPr>
          <w:p w14:paraId="528D7B55">
            <w:pPr>
              <w:pStyle w:val="14"/>
              <w:kinsoku/>
              <w:jc w:val="center"/>
              <w:rPr>
                <w:rFonts w:hint="eastAsia" w:ascii="Times New Roman" w:hAnsi="Times New Roman" w:eastAsia="仿宋" w:cs="Times New Roman"/>
                <w:color w:val="auto"/>
                <w:spacing w:val="6"/>
                <w:sz w:val="28"/>
                <w:szCs w:val="28"/>
                <w:highlight w:val="none"/>
              </w:rPr>
            </w:pPr>
            <w:r>
              <w:rPr>
                <w:rFonts w:hint="eastAsia" w:ascii="Times New Roman" w:hAnsi="Times New Roman" w:eastAsia="仿宋" w:cs="Times New Roman"/>
                <w:color w:val="auto"/>
                <w:spacing w:val="6"/>
                <w:sz w:val="28"/>
                <w:szCs w:val="28"/>
                <w:highlight w:val="none"/>
              </w:rPr>
              <w:t>500万元-1000万元(含1000万元)</w:t>
            </w:r>
          </w:p>
        </w:tc>
        <w:tc>
          <w:tcPr>
            <w:tcW w:w="718" w:type="pct"/>
            <w:vAlign w:val="center"/>
          </w:tcPr>
          <w:p w14:paraId="1953ADAB">
            <w:pPr>
              <w:pStyle w:val="14"/>
              <w:kinsoku/>
              <w:jc w:val="center"/>
              <w:rPr>
                <w:rFonts w:hint="eastAsia" w:ascii="Times New Roman" w:hAnsi="Times New Roman" w:eastAsia="仿宋" w:cs="Times New Roman"/>
                <w:color w:val="auto"/>
                <w:spacing w:val="6"/>
                <w:sz w:val="28"/>
                <w:szCs w:val="28"/>
                <w:highlight w:val="none"/>
              </w:rPr>
            </w:pPr>
            <w:r>
              <w:rPr>
                <w:rFonts w:hint="eastAsia" w:ascii="Times New Roman" w:hAnsi="Times New Roman" w:eastAsia="仿宋" w:cs="Times New Roman"/>
                <w:color w:val="auto"/>
                <w:spacing w:val="6"/>
                <w:sz w:val="28"/>
                <w:szCs w:val="28"/>
                <w:highlight w:val="none"/>
                <w:lang w:eastAsia="zh-CN"/>
              </w:rPr>
              <w:t>0.8</w:t>
            </w:r>
            <w:r>
              <w:rPr>
                <w:rFonts w:hint="eastAsia" w:ascii="Times New Roman" w:hAnsi="Times New Roman" w:eastAsia="仿宋" w:cs="Times New Roman"/>
                <w:color w:val="auto"/>
                <w:spacing w:val="6"/>
                <w:sz w:val="28"/>
                <w:szCs w:val="28"/>
                <w:highlight w:val="none"/>
              </w:rPr>
              <w:t>%</w:t>
            </w:r>
          </w:p>
        </w:tc>
        <w:tc>
          <w:tcPr>
            <w:tcW w:w="728" w:type="pct"/>
            <w:vAlign w:val="center"/>
          </w:tcPr>
          <w:p w14:paraId="2EF73F66">
            <w:pPr>
              <w:pStyle w:val="14"/>
              <w:kinsoku/>
              <w:jc w:val="center"/>
              <w:rPr>
                <w:rFonts w:hint="eastAsia" w:ascii="Times New Roman" w:hAnsi="Times New Roman" w:eastAsia="仿宋" w:cs="Times New Roman"/>
                <w:color w:val="auto"/>
                <w:spacing w:val="6"/>
                <w:sz w:val="28"/>
                <w:szCs w:val="28"/>
                <w:highlight w:val="none"/>
              </w:rPr>
            </w:pPr>
            <w:r>
              <w:rPr>
                <w:rFonts w:hint="eastAsia" w:ascii="Times New Roman" w:hAnsi="Times New Roman" w:eastAsia="仿宋" w:cs="Times New Roman"/>
                <w:color w:val="auto"/>
                <w:spacing w:val="6"/>
                <w:sz w:val="28"/>
                <w:szCs w:val="28"/>
                <w:highlight w:val="none"/>
              </w:rPr>
              <w:t>0.</w:t>
            </w:r>
            <w:r>
              <w:rPr>
                <w:rFonts w:hint="eastAsia" w:ascii="Times New Roman" w:hAnsi="Times New Roman" w:eastAsia="仿宋" w:cs="Times New Roman"/>
                <w:color w:val="auto"/>
                <w:spacing w:val="6"/>
                <w:sz w:val="28"/>
                <w:szCs w:val="28"/>
                <w:highlight w:val="none"/>
                <w:lang w:eastAsia="zh-CN"/>
              </w:rPr>
              <w:t>45</w:t>
            </w:r>
            <w:r>
              <w:rPr>
                <w:rFonts w:hint="eastAsia" w:ascii="Times New Roman" w:hAnsi="Times New Roman" w:eastAsia="仿宋" w:cs="Times New Roman"/>
                <w:color w:val="auto"/>
                <w:spacing w:val="6"/>
                <w:sz w:val="28"/>
                <w:szCs w:val="28"/>
                <w:highlight w:val="none"/>
              </w:rPr>
              <w:t>%</w:t>
            </w:r>
          </w:p>
        </w:tc>
        <w:tc>
          <w:tcPr>
            <w:tcW w:w="731" w:type="pct"/>
            <w:vAlign w:val="center"/>
          </w:tcPr>
          <w:p w14:paraId="2FCC1F84">
            <w:pPr>
              <w:pStyle w:val="14"/>
              <w:kinsoku/>
              <w:jc w:val="center"/>
              <w:rPr>
                <w:rFonts w:hint="eastAsia" w:ascii="Times New Roman" w:hAnsi="Times New Roman" w:eastAsia="仿宋" w:cs="Times New Roman"/>
                <w:color w:val="auto"/>
                <w:spacing w:val="6"/>
                <w:sz w:val="28"/>
                <w:szCs w:val="28"/>
                <w:highlight w:val="none"/>
              </w:rPr>
            </w:pPr>
            <w:r>
              <w:rPr>
                <w:rFonts w:hint="eastAsia" w:ascii="Times New Roman" w:hAnsi="Times New Roman" w:eastAsia="仿宋" w:cs="Times New Roman"/>
                <w:color w:val="auto"/>
                <w:spacing w:val="6"/>
                <w:sz w:val="28"/>
                <w:szCs w:val="28"/>
                <w:highlight w:val="none"/>
                <w:lang w:eastAsia="zh-CN"/>
              </w:rPr>
              <w:t>0</w:t>
            </w:r>
            <w:r>
              <w:rPr>
                <w:rFonts w:hint="eastAsia" w:ascii="Times New Roman" w:hAnsi="Times New Roman" w:eastAsia="仿宋" w:cs="Times New Roman"/>
                <w:color w:val="auto"/>
                <w:spacing w:val="6"/>
                <w:sz w:val="28"/>
                <w:szCs w:val="28"/>
                <w:highlight w:val="none"/>
              </w:rPr>
              <w:t>.</w:t>
            </w:r>
            <w:r>
              <w:rPr>
                <w:rFonts w:hint="eastAsia" w:ascii="Times New Roman" w:hAnsi="Times New Roman" w:eastAsia="仿宋" w:cs="Times New Roman"/>
                <w:color w:val="auto"/>
                <w:spacing w:val="6"/>
                <w:sz w:val="28"/>
                <w:szCs w:val="28"/>
                <w:highlight w:val="none"/>
                <w:lang w:eastAsia="zh-CN"/>
              </w:rPr>
              <w:t>55</w:t>
            </w:r>
            <w:r>
              <w:rPr>
                <w:rFonts w:hint="eastAsia" w:ascii="Times New Roman" w:hAnsi="Times New Roman" w:eastAsia="仿宋" w:cs="Times New Roman"/>
                <w:color w:val="auto"/>
                <w:spacing w:val="6"/>
                <w:sz w:val="28"/>
                <w:szCs w:val="28"/>
                <w:highlight w:val="none"/>
              </w:rPr>
              <w:t>%</w:t>
            </w:r>
          </w:p>
        </w:tc>
      </w:tr>
      <w:tr w14:paraId="660B58D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3" w:hRule="atLeast"/>
        </w:trPr>
        <w:tc>
          <w:tcPr>
            <w:tcW w:w="2821" w:type="pct"/>
            <w:vAlign w:val="center"/>
          </w:tcPr>
          <w:p w14:paraId="13189203">
            <w:pPr>
              <w:pStyle w:val="14"/>
              <w:kinsoku/>
              <w:jc w:val="center"/>
              <w:rPr>
                <w:rFonts w:hint="eastAsia" w:ascii="Times New Roman" w:hAnsi="Times New Roman" w:eastAsia="仿宋" w:cs="Times New Roman"/>
                <w:color w:val="auto"/>
                <w:spacing w:val="6"/>
                <w:sz w:val="28"/>
                <w:szCs w:val="28"/>
                <w:highlight w:val="none"/>
              </w:rPr>
            </w:pPr>
            <w:r>
              <w:rPr>
                <w:rFonts w:hint="eastAsia" w:ascii="Times New Roman" w:hAnsi="Times New Roman" w:eastAsia="仿宋" w:cs="Times New Roman"/>
                <w:color w:val="auto"/>
                <w:spacing w:val="6"/>
                <w:sz w:val="28"/>
                <w:szCs w:val="28"/>
                <w:highlight w:val="none"/>
              </w:rPr>
              <w:t>1000万元-5000万元(含5000万元)</w:t>
            </w:r>
          </w:p>
        </w:tc>
        <w:tc>
          <w:tcPr>
            <w:tcW w:w="718" w:type="pct"/>
            <w:vAlign w:val="center"/>
          </w:tcPr>
          <w:p w14:paraId="1694CCAA">
            <w:pPr>
              <w:pStyle w:val="14"/>
              <w:kinsoku/>
              <w:jc w:val="center"/>
              <w:rPr>
                <w:rFonts w:hint="eastAsia" w:ascii="Times New Roman" w:hAnsi="Times New Roman" w:eastAsia="仿宋" w:cs="Times New Roman"/>
                <w:color w:val="auto"/>
                <w:spacing w:val="6"/>
                <w:sz w:val="28"/>
                <w:szCs w:val="28"/>
                <w:highlight w:val="none"/>
              </w:rPr>
            </w:pPr>
            <w:r>
              <w:rPr>
                <w:rFonts w:hint="eastAsia" w:ascii="Times New Roman" w:hAnsi="Times New Roman" w:eastAsia="仿宋" w:cs="Times New Roman"/>
                <w:color w:val="auto"/>
                <w:spacing w:val="6"/>
                <w:sz w:val="28"/>
                <w:szCs w:val="28"/>
                <w:highlight w:val="none"/>
              </w:rPr>
              <w:t>0.5%</w:t>
            </w:r>
          </w:p>
        </w:tc>
        <w:tc>
          <w:tcPr>
            <w:tcW w:w="728" w:type="pct"/>
            <w:vAlign w:val="center"/>
          </w:tcPr>
          <w:p w14:paraId="54B9F98E">
            <w:pPr>
              <w:pStyle w:val="14"/>
              <w:kinsoku/>
              <w:jc w:val="center"/>
              <w:rPr>
                <w:rFonts w:hint="eastAsia" w:ascii="Times New Roman" w:hAnsi="Times New Roman" w:eastAsia="仿宋" w:cs="Times New Roman"/>
                <w:color w:val="auto"/>
                <w:spacing w:val="6"/>
                <w:sz w:val="28"/>
                <w:szCs w:val="28"/>
                <w:highlight w:val="none"/>
              </w:rPr>
            </w:pPr>
            <w:r>
              <w:rPr>
                <w:rFonts w:hint="eastAsia" w:ascii="Times New Roman" w:hAnsi="Times New Roman" w:eastAsia="仿宋" w:cs="Times New Roman"/>
                <w:color w:val="auto"/>
                <w:spacing w:val="6"/>
                <w:sz w:val="28"/>
                <w:szCs w:val="28"/>
                <w:highlight w:val="none"/>
              </w:rPr>
              <w:t>0.</w:t>
            </w:r>
            <w:r>
              <w:rPr>
                <w:rFonts w:hint="eastAsia" w:ascii="Times New Roman" w:hAnsi="Times New Roman" w:eastAsia="仿宋" w:cs="Times New Roman"/>
                <w:color w:val="auto"/>
                <w:spacing w:val="6"/>
                <w:sz w:val="28"/>
                <w:szCs w:val="28"/>
                <w:highlight w:val="none"/>
                <w:lang w:eastAsia="zh-CN"/>
              </w:rPr>
              <w:t>2</w:t>
            </w:r>
            <w:r>
              <w:rPr>
                <w:rFonts w:hint="eastAsia" w:ascii="Times New Roman" w:hAnsi="Times New Roman" w:eastAsia="仿宋" w:cs="Times New Roman"/>
                <w:color w:val="auto"/>
                <w:spacing w:val="6"/>
                <w:sz w:val="28"/>
                <w:szCs w:val="28"/>
                <w:highlight w:val="none"/>
              </w:rPr>
              <w:t>5%</w:t>
            </w:r>
          </w:p>
        </w:tc>
        <w:tc>
          <w:tcPr>
            <w:tcW w:w="731" w:type="pct"/>
            <w:vAlign w:val="center"/>
          </w:tcPr>
          <w:p w14:paraId="60B6DA7E">
            <w:pPr>
              <w:pStyle w:val="14"/>
              <w:kinsoku/>
              <w:jc w:val="center"/>
              <w:rPr>
                <w:rFonts w:hint="eastAsia" w:ascii="Times New Roman" w:hAnsi="Times New Roman" w:eastAsia="仿宋" w:cs="Times New Roman"/>
                <w:color w:val="auto"/>
                <w:spacing w:val="6"/>
                <w:sz w:val="28"/>
                <w:szCs w:val="28"/>
                <w:highlight w:val="none"/>
              </w:rPr>
            </w:pPr>
            <w:r>
              <w:rPr>
                <w:rFonts w:hint="eastAsia" w:ascii="Times New Roman" w:hAnsi="Times New Roman" w:eastAsia="仿宋" w:cs="Times New Roman"/>
                <w:color w:val="auto"/>
                <w:spacing w:val="6"/>
                <w:sz w:val="28"/>
                <w:szCs w:val="28"/>
                <w:highlight w:val="none"/>
              </w:rPr>
              <w:t>0.</w:t>
            </w:r>
            <w:r>
              <w:rPr>
                <w:rFonts w:hint="eastAsia" w:ascii="Times New Roman" w:hAnsi="Times New Roman" w:eastAsia="仿宋" w:cs="Times New Roman"/>
                <w:color w:val="auto"/>
                <w:spacing w:val="6"/>
                <w:sz w:val="28"/>
                <w:szCs w:val="28"/>
                <w:highlight w:val="none"/>
                <w:lang w:eastAsia="zh-CN"/>
              </w:rPr>
              <w:t>3</w:t>
            </w:r>
            <w:r>
              <w:rPr>
                <w:rFonts w:hint="eastAsia" w:ascii="Times New Roman" w:hAnsi="Times New Roman" w:eastAsia="仿宋" w:cs="Times New Roman"/>
                <w:color w:val="auto"/>
                <w:spacing w:val="6"/>
                <w:sz w:val="28"/>
                <w:szCs w:val="28"/>
                <w:highlight w:val="none"/>
              </w:rPr>
              <w:t>5%</w:t>
            </w:r>
          </w:p>
        </w:tc>
      </w:tr>
      <w:tr w14:paraId="52D0874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3" w:hRule="atLeast"/>
        </w:trPr>
        <w:tc>
          <w:tcPr>
            <w:tcW w:w="2821" w:type="pct"/>
            <w:vAlign w:val="center"/>
          </w:tcPr>
          <w:p w14:paraId="4DC67670">
            <w:pPr>
              <w:pStyle w:val="14"/>
              <w:kinsoku/>
              <w:jc w:val="center"/>
              <w:rPr>
                <w:rFonts w:hint="eastAsia" w:ascii="Times New Roman" w:hAnsi="Times New Roman" w:eastAsia="仿宋" w:cs="Times New Roman"/>
                <w:color w:val="auto"/>
                <w:spacing w:val="6"/>
                <w:sz w:val="28"/>
                <w:szCs w:val="28"/>
                <w:highlight w:val="none"/>
              </w:rPr>
            </w:pPr>
            <w:r>
              <w:rPr>
                <w:rFonts w:hint="eastAsia" w:ascii="Times New Roman" w:hAnsi="Times New Roman" w:eastAsia="仿宋" w:cs="Times New Roman"/>
                <w:color w:val="auto"/>
                <w:spacing w:val="6"/>
                <w:sz w:val="28"/>
                <w:szCs w:val="28"/>
                <w:highlight w:val="none"/>
              </w:rPr>
              <w:t>5000万元-10000万元(含10000万元)</w:t>
            </w:r>
          </w:p>
        </w:tc>
        <w:tc>
          <w:tcPr>
            <w:tcW w:w="718" w:type="pct"/>
            <w:vAlign w:val="center"/>
          </w:tcPr>
          <w:p w14:paraId="7DF3BCBC">
            <w:pPr>
              <w:pStyle w:val="14"/>
              <w:kinsoku/>
              <w:jc w:val="center"/>
              <w:rPr>
                <w:rFonts w:hint="eastAsia" w:ascii="Times New Roman" w:hAnsi="Times New Roman" w:eastAsia="仿宋" w:cs="Times New Roman"/>
                <w:color w:val="auto"/>
                <w:spacing w:val="6"/>
                <w:sz w:val="28"/>
                <w:szCs w:val="28"/>
                <w:highlight w:val="none"/>
              </w:rPr>
            </w:pPr>
            <w:r>
              <w:rPr>
                <w:rFonts w:hint="eastAsia" w:ascii="Times New Roman" w:hAnsi="Times New Roman" w:eastAsia="仿宋" w:cs="Times New Roman"/>
                <w:color w:val="auto"/>
                <w:spacing w:val="6"/>
                <w:position w:val="1"/>
                <w:sz w:val="28"/>
                <w:szCs w:val="28"/>
                <w:highlight w:val="none"/>
              </w:rPr>
              <w:t>0.25%</w:t>
            </w:r>
          </w:p>
        </w:tc>
        <w:tc>
          <w:tcPr>
            <w:tcW w:w="728" w:type="pct"/>
            <w:vAlign w:val="center"/>
          </w:tcPr>
          <w:p w14:paraId="50FEB117">
            <w:pPr>
              <w:pStyle w:val="14"/>
              <w:kinsoku/>
              <w:jc w:val="center"/>
              <w:rPr>
                <w:rFonts w:hint="eastAsia" w:ascii="Times New Roman" w:hAnsi="Times New Roman" w:eastAsia="仿宋" w:cs="Times New Roman"/>
                <w:color w:val="auto"/>
                <w:spacing w:val="6"/>
                <w:sz w:val="28"/>
                <w:szCs w:val="28"/>
                <w:highlight w:val="none"/>
              </w:rPr>
            </w:pPr>
            <w:r>
              <w:rPr>
                <w:rFonts w:hint="eastAsia" w:ascii="Times New Roman" w:hAnsi="Times New Roman" w:eastAsia="仿宋" w:cs="Times New Roman"/>
                <w:color w:val="auto"/>
                <w:spacing w:val="6"/>
                <w:sz w:val="28"/>
                <w:szCs w:val="28"/>
                <w:highlight w:val="none"/>
              </w:rPr>
              <w:t>0.1%</w:t>
            </w:r>
          </w:p>
        </w:tc>
        <w:tc>
          <w:tcPr>
            <w:tcW w:w="731" w:type="pct"/>
            <w:vAlign w:val="center"/>
          </w:tcPr>
          <w:p w14:paraId="01BF6C43">
            <w:pPr>
              <w:pStyle w:val="14"/>
              <w:kinsoku/>
              <w:jc w:val="center"/>
              <w:rPr>
                <w:rFonts w:hint="eastAsia" w:ascii="Times New Roman" w:hAnsi="Times New Roman" w:eastAsia="仿宋" w:cs="Times New Roman"/>
                <w:color w:val="auto"/>
                <w:spacing w:val="6"/>
                <w:sz w:val="28"/>
                <w:szCs w:val="28"/>
                <w:highlight w:val="none"/>
              </w:rPr>
            </w:pPr>
            <w:r>
              <w:rPr>
                <w:rFonts w:hint="eastAsia" w:ascii="Times New Roman" w:hAnsi="Times New Roman" w:eastAsia="仿宋" w:cs="Times New Roman"/>
                <w:color w:val="auto"/>
                <w:spacing w:val="6"/>
                <w:position w:val="1"/>
                <w:sz w:val="28"/>
                <w:szCs w:val="28"/>
                <w:highlight w:val="none"/>
              </w:rPr>
              <w:t>0.2%</w:t>
            </w:r>
          </w:p>
        </w:tc>
      </w:tr>
      <w:tr w14:paraId="43452A8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3" w:hRule="atLeast"/>
        </w:trPr>
        <w:tc>
          <w:tcPr>
            <w:tcW w:w="2821" w:type="pct"/>
            <w:vAlign w:val="center"/>
          </w:tcPr>
          <w:p w14:paraId="6DDAC8C4">
            <w:pPr>
              <w:pStyle w:val="14"/>
              <w:kinsoku/>
              <w:jc w:val="center"/>
              <w:rPr>
                <w:rFonts w:hint="eastAsia" w:ascii="Times New Roman" w:hAnsi="Times New Roman" w:eastAsia="仿宋" w:cs="Times New Roman"/>
                <w:color w:val="auto"/>
                <w:spacing w:val="6"/>
                <w:sz w:val="28"/>
                <w:szCs w:val="28"/>
                <w:highlight w:val="none"/>
              </w:rPr>
            </w:pPr>
            <w:r>
              <w:rPr>
                <w:rFonts w:hint="eastAsia" w:ascii="Times New Roman" w:hAnsi="Times New Roman" w:eastAsia="仿宋" w:cs="Times New Roman"/>
                <w:color w:val="auto"/>
                <w:spacing w:val="6"/>
                <w:sz w:val="28"/>
                <w:szCs w:val="28"/>
                <w:highlight w:val="none"/>
              </w:rPr>
              <w:t>10000万元-100000万元(含100000万元)</w:t>
            </w:r>
          </w:p>
        </w:tc>
        <w:tc>
          <w:tcPr>
            <w:tcW w:w="718" w:type="pct"/>
            <w:vAlign w:val="center"/>
          </w:tcPr>
          <w:p w14:paraId="750C2FDA">
            <w:pPr>
              <w:pStyle w:val="14"/>
              <w:kinsoku/>
              <w:jc w:val="center"/>
              <w:rPr>
                <w:rFonts w:hint="eastAsia" w:ascii="Times New Roman" w:hAnsi="Times New Roman" w:eastAsia="仿宋" w:cs="Times New Roman"/>
                <w:color w:val="auto"/>
                <w:spacing w:val="6"/>
                <w:sz w:val="28"/>
                <w:szCs w:val="28"/>
                <w:highlight w:val="none"/>
              </w:rPr>
            </w:pPr>
            <w:r>
              <w:rPr>
                <w:rFonts w:hint="eastAsia" w:ascii="Times New Roman" w:hAnsi="Times New Roman" w:eastAsia="仿宋" w:cs="Times New Roman"/>
                <w:color w:val="auto"/>
                <w:spacing w:val="6"/>
                <w:position w:val="1"/>
                <w:sz w:val="28"/>
                <w:szCs w:val="28"/>
                <w:highlight w:val="none"/>
              </w:rPr>
              <w:t>0.05%</w:t>
            </w:r>
          </w:p>
        </w:tc>
        <w:tc>
          <w:tcPr>
            <w:tcW w:w="728" w:type="pct"/>
            <w:vAlign w:val="center"/>
          </w:tcPr>
          <w:p w14:paraId="4E834564">
            <w:pPr>
              <w:pStyle w:val="14"/>
              <w:kinsoku/>
              <w:jc w:val="center"/>
              <w:rPr>
                <w:rFonts w:hint="eastAsia" w:ascii="Times New Roman" w:hAnsi="Times New Roman" w:eastAsia="仿宋" w:cs="Times New Roman"/>
                <w:color w:val="auto"/>
                <w:spacing w:val="6"/>
                <w:sz w:val="28"/>
                <w:szCs w:val="28"/>
                <w:highlight w:val="none"/>
              </w:rPr>
            </w:pPr>
            <w:r>
              <w:rPr>
                <w:rFonts w:hint="eastAsia" w:ascii="Times New Roman" w:hAnsi="Times New Roman" w:eastAsia="仿宋" w:cs="Times New Roman"/>
                <w:color w:val="auto"/>
                <w:spacing w:val="6"/>
                <w:position w:val="1"/>
                <w:sz w:val="28"/>
                <w:szCs w:val="28"/>
                <w:highlight w:val="none"/>
              </w:rPr>
              <w:t>0.05%</w:t>
            </w:r>
          </w:p>
        </w:tc>
        <w:tc>
          <w:tcPr>
            <w:tcW w:w="731" w:type="pct"/>
            <w:vAlign w:val="center"/>
          </w:tcPr>
          <w:p w14:paraId="414D6AE7">
            <w:pPr>
              <w:pStyle w:val="14"/>
              <w:kinsoku/>
              <w:jc w:val="center"/>
              <w:rPr>
                <w:rFonts w:hint="eastAsia" w:ascii="Times New Roman" w:hAnsi="Times New Roman" w:eastAsia="仿宋" w:cs="Times New Roman"/>
                <w:color w:val="auto"/>
                <w:spacing w:val="6"/>
                <w:sz w:val="28"/>
                <w:szCs w:val="28"/>
                <w:highlight w:val="none"/>
              </w:rPr>
            </w:pPr>
            <w:r>
              <w:rPr>
                <w:rFonts w:hint="eastAsia" w:ascii="Times New Roman" w:hAnsi="Times New Roman" w:eastAsia="仿宋" w:cs="Times New Roman"/>
                <w:color w:val="auto"/>
                <w:spacing w:val="6"/>
                <w:position w:val="1"/>
                <w:sz w:val="28"/>
                <w:szCs w:val="28"/>
                <w:highlight w:val="none"/>
              </w:rPr>
              <w:t>0.05%</w:t>
            </w:r>
          </w:p>
        </w:tc>
      </w:tr>
      <w:tr w14:paraId="0151777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3" w:hRule="atLeast"/>
        </w:trPr>
        <w:tc>
          <w:tcPr>
            <w:tcW w:w="2821" w:type="pct"/>
            <w:vAlign w:val="center"/>
          </w:tcPr>
          <w:p w14:paraId="73C863D5">
            <w:pPr>
              <w:pStyle w:val="14"/>
              <w:kinsoku/>
              <w:jc w:val="center"/>
              <w:rPr>
                <w:rFonts w:hint="eastAsia" w:ascii="Times New Roman" w:hAnsi="Times New Roman" w:eastAsia="仿宋" w:cs="Times New Roman"/>
                <w:color w:val="auto"/>
                <w:spacing w:val="6"/>
                <w:sz w:val="28"/>
                <w:szCs w:val="28"/>
                <w:highlight w:val="none"/>
              </w:rPr>
            </w:pPr>
            <w:r>
              <w:rPr>
                <w:rFonts w:hint="eastAsia" w:ascii="Times New Roman" w:hAnsi="Times New Roman" w:eastAsia="仿宋" w:cs="Times New Roman"/>
                <w:color w:val="auto"/>
                <w:spacing w:val="6"/>
                <w:sz w:val="28"/>
                <w:szCs w:val="28"/>
                <w:highlight w:val="none"/>
              </w:rPr>
              <w:t>100000万元以上</w:t>
            </w:r>
          </w:p>
        </w:tc>
        <w:tc>
          <w:tcPr>
            <w:tcW w:w="718" w:type="pct"/>
            <w:vAlign w:val="center"/>
          </w:tcPr>
          <w:p w14:paraId="48638C95">
            <w:pPr>
              <w:pStyle w:val="14"/>
              <w:kinsoku/>
              <w:jc w:val="center"/>
              <w:rPr>
                <w:rFonts w:hint="eastAsia" w:ascii="Times New Roman" w:hAnsi="Times New Roman" w:eastAsia="仿宋" w:cs="Times New Roman"/>
                <w:color w:val="auto"/>
                <w:spacing w:val="6"/>
                <w:sz w:val="28"/>
                <w:szCs w:val="28"/>
                <w:highlight w:val="none"/>
              </w:rPr>
            </w:pPr>
            <w:r>
              <w:rPr>
                <w:rFonts w:hint="eastAsia" w:ascii="Times New Roman" w:hAnsi="Times New Roman" w:eastAsia="仿宋" w:cs="Times New Roman"/>
                <w:color w:val="auto"/>
                <w:spacing w:val="6"/>
                <w:sz w:val="28"/>
                <w:szCs w:val="28"/>
                <w:highlight w:val="none"/>
              </w:rPr>
              <w:t>0.01%</w:t>
            </w:r>
          </w:p>
        </w:tc>
        <w:tc>
          <w:tcPr>
            <w:tcW w:w="728" w:type="pct"/>
            <w:vAlign w:val="center"/>
          </w:tcPr>
          <w:p w14:paraId="7A6972D4">
            <w:pPr>
              <w:pStyle w:val="14"/>
              <w:kinsoku/>
              <w:jc w:val="center"/>
              <w:rPr>
                <w:rFonts w:hint="eastAsia" w:ascii="Times New Roman" w:hAnsi="Times New Roman" w:eastAsia="仿宋" w:cs="Times New Roman"/>
                <w:color w:val="auto"/>
                <w:spacing w:val="6"/>
                <w:sz w:val="28"/>
                <w:szCs w:val="28"/>
                <w:highlight w:val="none"/>
              </w:rPr>
            </w:pPr>
            <w:r>
              <w:rPr>
                <w:rFonts w:hint="eastAsia" w:ascii="Times New Roman" w:hAnsi="Times New Roman" w:eastAsia="仿宋" w:cs="Times New Roman"/>
                <w:color w:val="auto"/>
                <w:spacing w:val="6"/>
                <w:sz w:val="28"/>
                <w:szCs w:val="28"/>
                <w:highlight w:val="none"/>
              </w:rPr>
              <w:t>0.01%</w:t>
            </w:r>
          </w:p>
        </w:tc>
        <w:tc>
          <w:tcPr>
            <w:tcW w:w="731" w:type="pct"/>
            <w:vAlign w:val="center"/>
          </w:tcPr>
          <w:p w14:paraId="3FDD0B24">
            <w:pPr>
              <w:pStyle w:val="14"/>
              <w:kinsoku/>
              <w:jc w:val="center"/>
              <w:rPr>
                <w:rFonts w:hint="eastAsia" w:ascii="Times New Roman" w:hAnsi="Times New Roman" w:eastAsia="仿宋" w:cs="Times New Roman"/>
                <w:color w:val="auto"/>
                <w:spacing w:val="6"/>
                <w:sz w:val="28"/>
                <w:szCs w:val="28"/>
                <w:highlight w:val="none"/>
              </w:rPr>
            </w:pPr>
            <w:r>
              <w:rPr>
                <w:rFonts w:hint="eastAsia" w:ascii="Times New Roman" w:hAnsi="Times New Roman" w:eastAsia="仿宋" w:cs="Times New Roman"/>
                <w:color w:val="auto"/>
                <w:spacing w:val="6"/>
                <w:sz w:val="28"/>
                <w:szCs w:val="28"/>
                <w:highlight w:val="none"/>
              </w:rPr>
              <w:t>0.01%</w:t>
            </w:r>
          </w:p>
        </w:tc>
      </w:tr>
    </w:tbl>
    <w:p w14:paraId="3001D42F">
      <w:pPr>
        <w:jc w:val="both"/>
        <w:rPr>
          <w:rFonts w:hint="eastAsia" w:ascii="Times New Roman" w:hAnsi="Times New Roman" w:eastAsia="仿宋" w:cs="Times New Roman"/>
          <w:color w:val="auto"/>
          <w:sz w:val="32"/>
          <w:szCs w:val="32"/>
          <w:highlight w:val="none"/>
          <w:lang w:eastAsia="zh-CN"/>
        </w:rPr>
      </w:pPr>
    </w:p>
    <w:p w14:paraId="48C94AC8">
      <w:pPr>
        <w:spacing w:afterLines="50"/>
        <w:jc w:val="both"/>
        <w:rPr>
          <w:rFonts w:hint="eastAsia" w:ascii="仿宋" w:hAnsi="仿宋" w:eastAsia="仿宋" w:cs="仿宋"/>
          <w:color w:val="auto"/>
          <w:sz w:val="32"/>
          <w:szCs w:val="32"/>
          <w:highlight w:val="none"/>
          <w:lang w:eastAsia="zh-CN"/>
        </w:rPr>
      </w:pPr>
      <w:bookmarkStart w:id="3" w:name="_Hlk221098848"/>
      <w:r>
        <w:rPr>
          <w:rFonts w:hint="eastAsia" w:ascii="仿宋" w:hAnsi="仿宋" w:eastAsia="仿宋" w:cs="仿宋"/>
          <w:color w:val="auto"/>
          <w:sz w:val="32"/>
          <w:szCs w:val="32"/>
          <w:highlight w:val="none"/>
          <w:lang w:eastAsia="zh-CN"/>
        </w:rPr>
        <w:t>注：1. 采用费率招标或无明确中标总价的项目，以招标控制价（最高投标限价）或项目估算（概算）投资额作为收费计算基数。</w:t>
      </w:r>
    </w:p>
    <w:p w14:paraId="42F349A8">
      <w:pPr>
        <w:pStyle w:val="4"/>
        <w:numPr>
          <w:ilvl w:val="0"/>
          <w:numId w:val="2"/>
        </w:numPr>
        <w:kinsoku/>
        <w:spacing w:afterLines="50"/>
        <w:jc w:val="both"/>
        <w:rPr>
          <w:rFonts w:hint="eastAsia" w:ascii="仿宋" w:hAnsi="仿宋" w:eastAsia="仿宋" w:cs="仿宋"/>
          <w:color w:val="auto"/>
          <w:sz w:val="32"/>
          <w:szCs w:val="32"/>
          <w:highlight w:val="none"/>
          <w:u w:val="none"/>
          <w:lang w:eastAsia="zh-CN"/>
        </w:rPr>
      </w:pPr>
      <w:r>
        <w:rPr>
          <w:rFonts w:hint="eastAsia" w:ascii="仿宋" w:hAnsi="仿宋" w:eastAsia="仿宋" w:cs="仿宋"/>
          <w:color w:val="auto"/>
          <w:sz w:val="32"/>
          <w:szCs w:val="32"/>
          <w:highlight w:val="none"/>
          <w:lang w:val="en-US" w:eastAsia="zh-CN"/>
        </w:rPr>
        <w:t>依法必须招标的工程建设项目，常规</w:t>
      </w:r>
      <w:r>
        <w:rPr>
          <w:rFonts w:hint="eastAsia" w:ascii="仿宋" w:hAnsi="仿宋" w:eastAsia="仿宋" w:cs="仿宋"/>
          <w:color w:val="auto"/>
          <w:sz w:val="32"/>
          <w:szCs w:val="32"/>
          <w:highlight w:val="none"/>
          <w:lang w:eastAsia="zh-CN"/>
        </w:rPr>
        <w:t>服务费与评标相关费用（含</w:t>
      </w:r>
      <w:r>
        <w:rPr>
          <w:rFonts w:hint="eastAsia" w:ascii="仿宋" w:hAnsi="仿宋" w:eastAsia="仿宋" w:cs="仿宋"/>
          <w:color w:val="auto"/>
          <w:sz w:val="32"/>
          <w:szCs w:val="32"/>
          <w:highlight w:val="none"/>
          <w:lang w:val="en-US" w:eastAsia="zh-CN"/>
        </w:rPr>
        <w:t>评标</w:t>
      </w:r>
      <w:r>
        <w:rPr>
          <w:rFonts w:hint="eastAsia" w:ascii="仿宋" w:hAnsi="仿宋" w:eastAsia="仿宋" w:cs="仿宋"/>
          <w:color w:val="auto"/>
          <w:sz w:val="32"/>
          <w:szCs w:val="32"/>
          <w:highlight w:val="none"/>
          <w:lang w:eastAsia="zh-CN"/>
        </w:rPr>
        <w:t>专家</w:t>
      </w:r>
      <w:r>
        <w:rPr>
          <w:rFonts w:hint="eastAsia" w:ascii="仿宋" w:hAnsi="仿宋" w:eastAsia="仿宋" w:cs="仿宋"/>
          <w:color w:val="auto"/>
          <w:sz w:val="32"/>
          <w:szCs w:val="32"/>
          <w:highlight w:val="none"/>
          <w:lang w:val="en-US" w:eastAsia="zh-CN"/>
        </w:rPr>
        <w:t>劳务</w:t>
      </w:r>
      <w:r>
        <w:rPr>
          <w:rFonts w:hint="eastAsia" w:ascii="仿宋" w:hAnsi="仿宋" w:eastAsia="仿宋" w:cs="仿宋"/>
          <w:color w:val="auto"/>
          <w:sz w:val="32"/>
          <w:szCs w:val="32"/>
          <w:highlight w:val="none"/>
          <w:lang w:eastAsia="zh-CN"/>
        </w:rPr>
        <w:t>费、</w:t>
      </w:r>
      <w:r>
        <w:rPr>
          <w:rFonts w:hint="eastAsia" w:ascii="仿宋" w:hAnsi="仿宋" w:eastAsia="仿宋" w:cs="仿宋"/>
          <w:color w:val="auto"/>
          <w:sz w:val="32"/>
          <w:szCs w:val="32"/>
          <w:highlight w:val="none"/>
          <w:lang w:val="en-US" w:eastAsia="zh-CN"/>
        </w:rPr>
        <w:t>评标场所服务费</w:t>
      </w:r>
      <w:r>
        <w:rPr>
          <w:rFonts w:hint="eastAsia" w:ascii="仿宋" w:hAnsi="仿宋" w:eastAsia="仿宋" w:cs="仿宋"/>
          <w:color w:val="auto"/>
          <w:sz w:val="32"/>
          <w:szCs w:val="32"/>
          <w:highlight w:val="none"/>
          <w:lang w:eastAsia="zh-CN"/>
        </w:rPr>
        <w:t>等）实行分项核算、单独列明。委托合同应清晰载明各项费用的金额、计算方式、支付主体、支付节点，及合同非正常终止时的费用处理办法。</w:t>
      </w:r>
      <w:bookmarkEnd w:id="3"/>
    </w:p>
    <w:p w14:paraId="04210414">
      <w:pPr>
        <w:pStyle w:val="4"/>
        <w:numPr>
          <w:ilvl w:val="-1"/>
          <w:numId w:val="0"/>
        </w:numPr>
        <w:kinsoku/>
        <w:spacing w:before="0" w:beforeLines="-2147483648" w:afterLines="50" w:line="240" w:lineRule="auto"/>
        <w:ind w:firstLine="0" w:firstLineChars="0"/>
        <w:jc w:val="both"/>
        <w:rPr>
          <w:rFonts w:hint="eastAsia" w:ascii="Times New Roman" w:hAnsi="Times New Roman" w:eastAsia="仿宋" w:cs="Times New Roman"/>
          <w:color w:val="auto"/>
          <w:sz w:val="32"/>
          <w:szCs w:val="32"/>
          <w:highlight w:val="none"/>
          <w:lang w:eastAsia="zh-CN"/>
        </w:rPr>
      </w:pPr>
    </w:p>
    <w:p w14:paraId="290562E6">
      <w:pPr>
        <w:pStyle w:val="4"/>
        <w:numPr>
          <w:ilvl w:val="-1"/>
          <w:numId w:val="0"/>
        </w:numPr>
        <w:kinsoku/>
        <w:spacing w:before="120" w:beforeLines="50" w:afterLines="-2147483648" w:line="324" w:lineRule="auto"/>
        <w:ind w:firstLine="643" w:firstLineChars="200"/>
        <w:jc w:val="both"/>
        <w:rPr>
          <w:rFonts w:hint="eastAsia" w:ascii="FangSong_GB2312" w:hAnsi="FangSong_GB2312" w:eastAsia="FangSong_GB2312"/>
          <w:color w:val="auto"/>
          <w:sz w:val="32"/>
          <w:szCs w:val="24"/>
          <w:highlight w:val="none"/>
          <w:lang w:val="en-US" w:eastAsia="zh-CN"/>
        </w:rPr>
      </w:pPr>
      <w:r>
        <w:rPr>
          <w:rFonts w:hint="eastAsia" w:ascii="Times New Roman" w:hAnsi="Times New Roman" w:eastAsia="仿宋" w:cs="Times New Roman"/>
          <w:b/>
          <w:bCs/>
          <w:color w:val="auto"/>
          <w:sz w:val="32"/>
          <w:szCs w:val="32"/>
          <w:highlight w:val="none"/>
          <w:lang w:eastAsia="zh-CN"/>
        </w:rPr>
        <w:t>第</w:t>
      </w:r>
      <w:r>
        <w:rPr>
          <w:rFonts w:hint="eastAsia" w:ascii="Times New Roman" w:hAnsi="Times New Roman" w:eastAsia="仿宋" w:cs="Times New Roman"/>
          <w:b/>
          <w:bCs/>
          <w:color w:val="auto"/>
          <w:sz w:val="32"/>
          <w:szCs w:val="32"/>
          <w:highlight w:val="none"/>
          <w:lang w:val="en-US" w:eastAsia="zh-CN"/>
        </w:rPr>
        <w:t>八</w:t>
      </w:r>
      <w:r>
        <w:rPr>
          <w:rFonts w:hint="eastAsia" w:ascii="Times New Roman" w:hAnsi="Times New Roman" w:eastAsia="仿宋" w:cs="Times New Roman"/>
          <w:b/>
          <w:bCs/>
          <w:color w:val="auto"/>
          <w:sz w:val="32"/>
          <w:szCs w:val="32"/>
          <w:highlight w:val="none"/>
          <w:lang w:eastAsia="zh-CN"/>
        </w:rPr>
        <w:t>条</w:t>
      </w:r>
      <w:r>
        <w:rPr>
          <w:rFonts w:hint="eastAsia" w:ascii="Times New Roman" w:hAnsi="Times New Roman" w:eastAsia="仿宋" w:cs="Times New Roman"/>
          <w:color w:val="auto"/>
          <w:sz w:val="32"/>
          <w:szCs w:val="32"/>
          <w:highlight w:val="none"/>
          <w:lang w:eastAsia="zh-CN"/>
        </w:rPr>
        <w:t>　</w:t>
      </w:r>
      <w:r>
        <w:rPr>
          <w:rFonts w:hint="eastAsia" w:ascii="FangSong_GB2312" w:hAnsi="FangSong_GB2312" w:eastAsia="FangSong_GB2312"/>
          <w:color w:val="auto"/>
          <w:sz w:val="32"/>
          <w:szCs w:val="24"/>
          <w:highlight w:val="none"/>
        </w:rPr>
        <w:t>项目技术复杂、需组织异地评审或包含多项专项服务的</w:t>
      </w:r>
      <w:r>
        <w:rPr>
          <w:rFonts w:hint="eastAsia" w:ascii="FangSong_GB2312" w:hAnsi="FangSong_GB2312" w:eastAsia="FangSong_GB2312"/>
          <w:strike w:val="0"/>
          <w:color w:val="auto"/>
          <w:sz w:val="32"/>
          <w:szCs w:val="24"/>
          <w:highlight w:val="none"/>
        </w:rPr>
        <w:t>，</w:t>
      </w:r>
      <w:r>
        <w:rPr>
          <w:rFonts w:hint="eastAsia" w:ascii="FangSong_GB2312" w:hAnsi="FangSong_GB2312" w:eastAsia="FangSong_GB2312"/>
          <w:color w:val="auto"/>
          <w:sz w:val="32"/>
          <w:szCs w:val="24"/>
          <w:highlight w:val="none"/>
        </w:rPr>
        <w:t>由双方协商确定项目整体最终收费金额。</w:t>
      </w:r>
    </w:p>
    <w:p w14:paraId="362C13A1">
      <w:pPr>
        <w:kinsoku/>
        <w:spacing w:before="234" w:line="324" w:lineRule="auto"/>
        <w:jc w:val="center"/>
        <w:rPr>
          <w:rFonts w:hint="eastAsia" w:ascii="Times New Roman" w:hAnsi="Times New Roman" w:eastAsia="黑体" w:cs="Times New Roman"/>
          <w:color w:val="auto"/>
          <w:sz w:val="32"/>
          <w:szCs w:val="32"/>
          <w:highlight w:val="none"/>
          <w:lang w:val="en-US" w:eastAsia="zh-CN"/>
        </w:rPr>
      </w:pPr>
      <w:bookmarkStart w:id="4" w:name="OLE_LINK2"/>
      <w:r>
        <w:rPr>
          <w:rFonts w:hint="eastAsia" w:ascii="Times New Roman" w:hAnsi="Times New Roman" w:eastAsia="黑体" w:cs="Times New Roman"/>
          <w:color w:val="auto"/>
          <w:sz w:val="32"/>
          <w:szCs w:val="32"/>
          <w:highlight w:val="none"/>
          <w:lang w:eastAsia="zh-CN"/>
        </w:rPr>
        <w:t>第三章　增值服务与其他</w:t>
      </w:r>
      <w:r>
        <w:rPr>
          <w:rFonts w:hint="eastAsia" w:ascii="Times New Roman" w:hAnsi="Times New Roman" w:eastAsia="黑体" w:cs="Times New Roman"/>
          <w:color w:val="auto"/>
          <w:sz w:val="32"/>
          <w:szCs w:val="32"/>
          <w:highlight w:val="none"/>
          <w:lang w:val="en-US" w:eastAsia="zh-CN"/>
        </w:rPr>
        <w:t>采购</w:t>
      </w:r>
      <w:r>
        <w:rPr>
          <w:rFonts w:hint="eastAsia" w:ascii="Times New Roman" w:hAnsi="Times New Roman" w:eastAsia="黑体" w:cs="Times New Roman"/>
          <w:color w:val="auto"/>
          <w:sz w:val="32"/>
          <w:szCs w:val="32"/>
          <w:highlight w:val="none"/>
          <w:lang w:eastAsia="zh-CN"/>
        </w:rPr>
        <w:t>方式</w:t>
      </w:r>
    </w:p>
    <w:p w14:paraId="76C0B1E1">
      <w:pPr>
        <w:pStyle w:val="4"/>
        <w:keepNext w:val="0"/>
        <w:keepLines w:val="0"/>
        <w:pageBreakBefore w:val="0"/>
        <w:widowControl/>
        <w:kinsoku/>
        <w:wordWrap/>
        <w:overflowPunct/>
        <w:topLinePunct w:val="0"/>
        <w:autoSpaceDE w:val="0"/>
        <w:autoSpaceDN w:val="0"/>
        <w:bidi w:val="0"/>
        <w:adjustRightInd w:val="0"/>
        <w:snapToGrid w:val="0"/>
        <w:spacing w:before="0" w:beforeLines="50" w:line="324" w:lineRule="auto"/>
        <w:ind w:right="0" w:firstLine="643" w:firstLineChars="200"/>
        <w:jc w:val="both"/>
        <w:textAlignment w:val="baseline"/>
        <w:rPr>
          <w:rFonts w:hint="eastAsia" w:ascii="仿宋" w:hAnsi="仿宋" w:eastAsia="仿宋" w:cs="仿宋"/>
          <w:color w:val="auto"/>
          <w:spacing w:val="0"/>
          <w:sz w:val="32"/>
          <w:szCs w:val="32"/>
          <w:highlight w:val="none"/>
        </w:rPr>
      </w:pPr>
      <w:r>
        <w:rPr>
          <w:rFonts w:hint="eastAsia" w:ascii="Times New Roman" w:hAnsi="Times New Roman" w:eastAsia="仿宋" w:cs="Times New Roman"/>
          <w:b/>
          <w:bCs/>
          <w:color w:val="auto"/>
          <w:sz w:val="32"/>
          <w:szCs w:val="32"/>
          <w:highlight w:val="none"/>
          <w:lang w:eastAsia="zh-CN"/>
        </w:rPr>
        <w:t>第九条</w:t>
      </w:r>
      <w:r>
        <w:rPr>
          <w:rFonts w:hint="eastAsia" w:ascii="Times New Roman" w:hAnsi="Times New Roman" w:eastAsia="仿宋" w:cs="Times New Roman"/>
          <w:color w:val="auto"/>
          <w:sz w:val="32"/>
          <w:szCs w:val="32"/>
          <w:highlight w:val="none"/>
          <w:lang w:eastAsia="zh-CN"/>
        </w:rPr>
        <w:t>　增值服务，</w:t>
      </w:r>
      <w:r>
        <w:rPr>
          <w:rFonts w:hint="eastAsia" w:ascii="Times New Roman" w:hAnsi="Times New Roman" w:eastAsia="仿宋" w:cs="Times New Roman"/>
          <w:color w:val="auto"/>
          <w:sz w:val="32"/>
          <w:szCs w:val="32"/>
          <w:highlight w:val="none"/>
          <w:lang w:val="en-US" w:eastAsia="zh-CN"/>
        </w:rPr>
        <w:t>是指</w:t>
      </w:r>
      <w:r>
        <w:rPr>
          <w:rFonts w:hint="eastAsia" w:ascii="Times New Roman" w:hAnsi="Times New Roman" w:eastAsia="仿宋" w:cs="Times New Roman"/>
          <w:color w:val="auto"/>
          <w:sz w:val="32"/>
          <w:szCs w:val="32"/>
          <w:highlight w:val="none"/>
          <w:lang w:eastAsia="zh-CN"/>
        </w:rPr>
        <w:t>超出常规服务范围，依托招标代理机构专业能力、行业经验、资源整合</w:t>
      </w:r>
      <w:r>
        <w:rPr>
          <w:rFonts w:hint="eastAsia" w:ascii="Times New Roman" w:hAnsi="Times New Roman" w:eastAsia="仿宋" w:cs="Times New Roman"/>
          <w:color w:val="auto"/>
          <w:sz w:val="32"/>
          <w:szCs w:val="32"/>
          <w:highlight w:val="none"/>
          <w:lang w:val="en-US" w:eastAsia="zh-CN"/>
        </w:rPr>
        <w:t>能力及</w:t>
      </w:r>
      <w:r>
        <w:rPr>
          <w:rFonts w:hint="eastAsia" w:ascii="Times New Roman" w:hAnsi="Times New Roman" w:eastAsia="仿宋" w:cs="Times New Roman"/>
          <w:color w:val="auto"/>
          <w:sz w:val="32"/>
          <w:szCs w:val="32"/>
          <w:highlight w:val="none"/>
          <w:lang w:eastAsia="zh-CN"/>
        </w:rPr>
        <w:t>智力成果，为招标人提供的专业化、定制化、延伸性服务。此类服务以提升招标质量、</w:t>
      </w:r>
      <w:r>
        <w:rPr>
          <w:rFonts w:hint="eastAsia" w:ascii="Times New Roman" w:hAnsi="Times New Roman" w:eastAsia="仿宋" w:cs="Times New Roman"/>
          <w:color w:val="auto"/>
          <w:sz w:val="32"/>
          <w:szCs w:val="32"/>
          <w:highlight w:val="none"/>
          <w:lang w:val="en-US" w:eastAsia="zh-CN"/>
        </w:rPr>
        <w:t>防</w:t>
      </w:r>
      <w:r>
        <w:rPr>
          <w:rFonts w:hint="eastAsia" w:ascii="Times New Roman" w:hAnsi="Times New Roman" w:eastAsia="仿宋" w:cs="Times New Roman"/>
          <w:color w:val="auto"/>
          <w:sz w:val="32"/>
          <w:szCs w:val="32"/>
          <w:highlight w:val="none"/>
          <w:lang w:eastAsia="zh-CN"/>
        </w:rPr>
        <w:t>控项目风险、优化采购</w:t>
      </w:r>
      <w:r>
        <w:rPr>
          <w:rFonts w:hint="eastAsia" w:ascii="Times New Roman" w:hAnsi="Times New Roman" w:eastAsia="仿宋" w:cs="Times New Roman"/>
          <w:color w:val="auto"/>
          <w:sz w:val="32"/>
          <w:szCs w:val="32"/>
          <w:highlight w:val="none"/>
          <w:lang w:val="en-US" w:eastAsia="zh-CN"/>
        </w:rPr>
        <w:t>成</w:t>
      </w:r>
      <w:r>
        <w:rPr>
          <w:rFonts w:hint="eastAsia" w:ascii="Times New Roman" w:hAnsi="Times New Roman" w:eastAsia="仿宋" w:cs="Times New Roman"/>
          <w:color w:val="auto"/>
          <w:sz w:val="32"/>
          <w:szCs w:val="32"/>
          <w:highlight w:val="none"/>
          <w:lang w:eastAsia="zh-CN"/>
        </w:rPr>
        <w:t>效为目的，由委托、</w:t>
      </w:r>
      <w:r>
        <w:rPr>
          <w:rFonts w:hint="eastAsia" w:ascii="Times New Roman" w:hAnsi="Times New Roman" w:eastAsia="仿宋" w:cs="Times New Roman"/>
          <w:color w:val="auto"/>
          <w:sz w:val="32"/>
          <w:szCs w:val="32"/>
          <w:highlight w:val="none"/>
          <w:lang w:val="en-US" w:eastAsia="zh-CN"/>
        </w:rPr>
        <w:t>受托</w:t>
      </w:r>
      <w:r>
        <w:rPr>
          <w:rFonts w:hint="eastAsia" w:ascii="Times New Roman" w:hAnsi="Times New Roman" w:eastAsia="仿宋" w:cs="Times New Roman"/>
          <w:color w:val="auto"/>
          <w:sz w:val="32"/>
          <w:szCs w:val="32"/>
          <w:highlight w:val="none"/>
          <w:lang w:eastAsia="zh-CN"/>
        </w:rPr>
        <w:t>双方自愿选择。增值服务包括但不限于以下内容：</w:t>
      </w:r>
    </w:p>
    <w:p w14:paraId="65FDF6FA">
      <w:pPr>
        <w:pStyle w:val="4"/>
        <w:keepNext w:val="0"/>
        <w:keepLines w:val="0"/>
        <w:pageBreakBefore w:val="0"/>
        <w:widowControl/>
        <w:numPr>
          <w:ilvl w:val="0"/>
          <w:numId w:val="3"/>
        </w:numPr>
        <w:kinsoku/>
        <w:wordWrap/>
        <w:overflowPunct/>
        <w:topLinePunct w:val="0"/>
        <w:autoSpaceDE w:val="0"/>
        <w:autoSpaceDN w:val="0"/>
        <w:bidi w:val="0"/>
        <w:adjustRightInd w:val="0"/>
        <w:snapToGrid w:val="0"/>
        <w:spacing w:before="0" w:line="324" w:lineRule="auto"/>
        <w:ind w:left="0" w:leftChars="0" w:right="0" w:firstLine="640" w:firstLineChars="200"/>
        <w:jc w:val="both"/>
        <w:textAlignment w:val="baseline"/>
        <w:rPr>
          <w:rFonts w:hint="eastAsia" w:ascii="仿宋" w:hAnsi="仿宋" w:eastAsia="仿宋" w:cs="仿宋"/>
          <w:color w:val="auto"/>
          <w:sz w:val="32"/>
          <w:szCs w:val="32"/>
        </w:rPr>
      </w:pPr>
      <w:r>
        <w:rPr>
          <w:rFonts w:hint="eastAsia" w:ascii="仿宋" w:hAnsi="仿宋" w:eastAsia="仿宋" w:cs="仿宋"/>
          <w:color w:val="auto"/>
          <w:sz w:val="32"/>
          <w:szCs w:val="32"/>
        </w:rPr>
        <w:t>编制工程量清单、招标控制价（最高投标限价）或标底；</w:t>
      </w:r>
    </w:p>
    <w:p w14:paraId="3D4679B7">
      <w:pPr>
        <w:pStyle w:val="4"/>
        <w:keepNext w:val="0"/>
        <w:keepLines w:val="0"/>
        <w:pageBreakBefore w:val="0"/>
        <w:widowControl/>
        <w:numPr>
          <w:ilvl w:val="0"/>
          <w:numId w:val="3"/>
        </w:numPr>
        <w:kinsoku/>
        <w:wordWrap/>
        <w:overflowPunct/>
        <w:topLinePunct w:val="0"/>
        <w:autoSpaceDE w:val="0"/>
        <w:autoSpaceDN w:val="0"/>
        <w:bidi w:val="0"/>
        <w:adjustRightInd w:val="0"/>
        <w:snapToGrid w:val="0"/>
        <w:spacing w:before="0" w:line="324" w:lineRule="auto"/>
        <w:ind w:left="0" w:leftChars="0" w:right="0" w:firstLine="640" w:firstLineChars="200"/>
        <w:jc w:val="both"/>
        <w:textAlignment w:val="baseline"/>
        <w:rPr>
          <w:rFonts w:hint="eastAsia" w:ascii="仿宋" w:hAnsi="仿宋" w:eastAsia="仿宋" w:cs="仿宋"/>
          <w:color w:val="auto"/>
          <w:sz w:val="32"/>
          <w:szCs w:val="32"/>
        </w:rPr>
      </w:pPr>
      <w:r>
        <w:rPr>
          <w:rFonts w:hint="eastAsia" w:ascii="仿宋" w:hAnsi="仿宋" w:eastAsia="仿宋" w:cs="仿宋"/>
          <w:color w:val="auto"/>
          <w:sz w:val="32"/>
          <w:szCs w:val="32"/>
        </w:rPr>
        <w:t>组织或参与合同谈判，并根据谈判结果编写或修改拟补充、细化的合同条款；</w:t>
      </w:r>
    </w:p>
    <w:p w14:paraId="2DA4E66C">
      <w:pPr>
        <w:pStyle w:val="4"/>
        <w:keepNext w:val="0"/>
        <w:keepLines w:val="0"/>
        <w:pageBreakBefore w:val="0"/>
        <w:widowControl/>
        <w:numPr>
          <w:ilvl w:val="0"/>
          <w:numId w:val="3"/>
        </w:numPr>
        <w:kinsoku/>
        <w:wordWrap/>
        <w:overflowPunct/>
        <w:topLinePunct w:val="0"/>
        <w:autoSpaceDE w:val="0"/>
        <w:autoSpaceDN w:val="0"/>
        <w:bidi w:val="0"/>
        <w:adjustRightInd w:val="0"/>
        <w:snapToGrid w:val="0"/>
        <w:spacing w:before="0" w:line="324" w:lineRule="auto"/>
        <w:ind w:left="0" w:leftChars="0" w:right="0" w:firstLine="640" w:firstLineChars="200"/>
        <w:jc w:val="both"/>
        <w:textAlignment w:val="baseline"/>
        <w:rPr>
          <w:rFonts w:hint="eastAsia" w:ascii="仿宋" w:hAnsi="仿宋" w:eastAsia="仿宋" w:cs="仿宋"/>
          <w:color w:val="auto"/>
          <w:sz w:val="32"/>
          <w:szCs w:val="32"/>
          <w:lang w:val="en-US"/>
        </w:rPr>
      </w:pPr>
      <w:r>
        <w:rPr>
          <w:rFonts w:hint="eastAsia" w:ascii="仿宋" w:hAnsi="仿宋" w:eastAsia="仿宋" w:cs="仿宋"/>
          <w:color w:val="auto"/>
          <w:sz w:val="32"/>
          <w:szCs w:val="32"/>
        </w:rPr>
        <w:t>提供合同交底、合同条款应用解释等服务；</w:t>
      </w:r>
    </w:p>
    <w:p w14:paraId="1FDF6E4F">
      <w:pPr>
        <w:pStyle w:val="4"/>
        <w:keepNext w:val="0"/>
        <w:keepLines w:val="0"/>
        <w:pageBreakBefore w:val="0"/>
        <w:widowControl/>
        <w:numPr>
          <w:ilvl w:val="0"/>
          <w:numId w:val="3"/>
        </w:numPr>
        <w:kinsoku/>
        <w:wordWrap/>
        <w:overflowPunct/>
        <w:topLinePunct w:val="0"/>
        <w:autoSpaceDE w:val="0"/>
        <w:autoSpaceDN w:val="0"/>
        <w:bidi w:val="0"/>
        <w:adjustRightInd w:val="0"/>
        <w:snapToGrid w:val="0"/>
        <w:spacing w:before="0" w:line="324" w:lineRule="auto"/>
        <w:ind w:left="0" w:leftChars="0" w:right="0" w:firstLine="640" w:firstLineChars="200"/>
        <w:jc w:val="both"/>
        <w:textAlignment w:val="baseline"/>
        <w:rPr>
          <w:rFonts w:hint="eastAsia" w:ascii="仿宋" w:hAnsi="仿宋" w:eastAsia="仿宋" w:cs="仿宋"/>
          <w:color w:val="auto"/>
          <w:sz w:val="32"/>
          <w:szCs w:val="32"/>
          <w:lang w:val="en-US" w:eastAsia="zh-CN"/>
        </w:rPr>
      </w:pPr>
      <w:r>
        <w:rPr>
          <w:rFonts w:hint="eastAsia" w:ascii="仿宋" w:hAnsi="仿宋" w:eastAsia="仿宋" w:cs="仿宋"/>
          <w:color w:val="auto"/>
          <w:sz w:val="32"/>
          <w:szCs w:val="32"/>
        </w:rPr>
        <w:t>提供招标相关法律法规咨询及培训服务；</w:t>
      </w:r>
    </w:p>
    <w:p w14:paraId="01C3C857">
      <w:pPr>
        <w:pStyle w:val="4"/>
        <w:keepNext w:val="0"/>
        <w:keepLines w:val="0"/>
        <w:pageBreakBefore w:val="0"/>
        <w:widowControl/>
        <w:numPr>
          <w:ilvl w:val="0"/>
          <w:numId w:val="3"/>
        </w:numPr>
        <w:kinsoku/>
        <w:wordWrap/>
        <w:overflowPunct/>
        <w:topLinePunct w:val="0"/>
        <w:autoSpaceDE w:val="0"/>
        <w:autoSpaceDN w:val="0"/>
        <w:bidi w:val="0"/>
        <w:adjustRightInd w:val="0"/>
        <w:snapToGrid w:val="0"/>
        <w:spacing w:before="0" w:line="324" w:lineRule="auto"/>
        <w:ind w:left="0" w:leftChars="0" w:right="0" w:firstLine="640" w:firstLineChars="200"/>
        <w:jc w:val="both"/>
        <w:textAlignment w:val="baseline"/>
        <w:rPr>
          <w:rFonts w:hint="eastAsia" w:ascii="仿宋" w:hAnsi="仿宋" w:eastAsia="仿宋" w:cs="仿宋"/>
          <w:color w:val="auto"/>
          <w:sz w:val="32"/>
          <w:szCs w:val="32"/>
        </w:rPr>
      </w:pPr>
      <w:r>
        <w:rPr>
          <w:rFonts w:hint="eastAsia" w:ascii="仿宋" w:hAnsi="仿宋" w:eastAsia="仿宋" w:cs="仿宋"/>
          <w:color w:val="auto"/>
          <w:sz w:val="32"/>
          <w:szCs w:val="32"/>
        </w:rPr>
        <w:t>开展或协助开展市场专题调研；</w:t>
      </w:r>
    </w:p>
    <w:p w14:paraId="02D5E698">
      <w:pPr>
        <w:pStyle w:val="4"/>
        <w:keepNext w:val="0"/>
        <w:keepLines w:val="0"/>
        <w:pageBreakBefore w:val="0"/>
        <w:widowControl/>
        <w:numPr>
          <w:ilvl w:val="0"/>
          <w:numId w:val="3"/>
        </w:numPr>
        <w:kinsoku/>
        <w:wordWrap/>
        <w:overflowPunct/>
        <w:topLinePunct w:val="0"/>
        <w:autoSpaceDE w:val="0"/>
        <w:autoSpaceDN w:val="0"/>
        <w:bidi w:val="0"/>
        <w:adjustRightInd w:val="0"/>
        <w:snapToGrid w:val="0"/>
        <w:spacing w:before="0" w:line="324" w:lineRule="auto"/>
        <w:ind w:left="0" w:leftChars="0" w:right="0" w:firstLine="640" w:firstLineChars="200"/>
        <w:jc w:val="both"/>
        <w:textAlignment w:val="baseline"/>
        <w:rPr>
          <w:rFonts w:hint="eastAsia" w:ascii="仿宋" w:hAnsi="仿宋" w:eastAsia="仿宋" w:cs="仿宋"/>
          <w:color w:val="auto"/>
          <w:sz w:val="32"/>
          <w:szCs w:val="32"/>
          <w:lang w:val="en-US"/>
        </w:rPr>
      </w:pPr>
      <w:r>
        <w:rPr>
          <w:rFonts w:hint="eastAsia" w:ascii="仿宋" w:hAnsi="仿宋" w:eastAsia="仿宋" w:cs="仿宋"/>
          <w:color w:val="auto"/>
          <w:sz w:val="32"/>
          <w:szCs w:val="32"/>
        </w:rPr>
        <w:t>负责或协助进行合同履约管理、争议和纠纷处理；</w:t>
      </w:r>
    </w:p>
    <w:p w14:paraId="3791FFEE">
      <w:pPr>
        <w:pStyle w:val="4"/>
        <w:keepNext w:val="0"/>
        <w:keepLines w:val="0"/>
        <w:pageBreakBefore w:val="0"/>
        <w:widowControl/>
        <w:numPr>
          <w:ilvl w:val="0"/>
          <w:numId w:val="3"/>
        </w:numPr>
        <w:kinsoku/>
        <w:wordWrap/>
        <w:overflowPunct/>
        <w:topLinePunct w:val="0"/>
        <w:autoSpaceDE w:val="0"/>
        <w:autoSpaceDN w:val="0"/>
        <w:bidi w:val="0"/>
        <w:adjustRightInd w:val="0"/>
        <w:snapToGrid w:val="0"/>
        <w:spacing w:before="0" w:line="324" w:lineRule="auto"/>
        <w:ind w:left="0" w:leftChars="0" w:right="0" w:firstLine="640" w:firstLineChars="200"/>
        <w:jc w:val="both"/>
        <w:textAlignment w:val="baseline"/>
        <w:rPr>
          <w:rFonts w:hint="eastAsia" w:ascii="仿宋" w:hAnsi="仿宋" w:eastAsia="仿宋" w:cs="仿宋"/>
          <w:i w:val="0"/>
          <w:iCs w:val="0"/>
          <w:caps w:val="0"/>
          <w:color w:val="auto"/>
          <w:spacing w:val="0"/>
          <w:kern w:val="0"/>
          <w:sz w:val="32"/>
          <w:szCs w:val="32"/>
          <w:lang w:val="en-US" w:eastAsia="zh-CN" w:bidi="ar"/>
        </w:rPr>
      </w:pPr>
      <w:r>
        <w:rPr>
          <w:rFonts w:hint="eastAsia" w:ascii="仿宋" w:hAnsi="仿宋" w:eastAsia="仿宋" w:cs="仿宋"/>
          <w:color w:val="auto"/>
          <w:sz w:val="32"/>
          <w:szCs w:val="32"/>
        </w:rPr>
        <w:t>协助招标人进行集中招标计划管理、供应商关系管理、集中招标电子交易平台业务运维，以及提供数据统计和采购策略分析支撑等全供应链管理服务；</w:t>
      </w:r>
    </w:p>
    <w:p w14:paraId="72DD2AF4">
      <w:pPr>
        <w:pStyle w:val="4"/>
        <w:keepNext w:val="0"/>
        <w:keepLines w:val="0"/>
        <w:pageBreakBefore w:val="0"/>
        <w:widowControl/>
        <w:numPr>
          <w:ilvl w:val="0"/>
          <w:numId w:val="3"/>
        </w:numPr>
        <w:kinsoku/>
        <w:wordWrap/>
        <w:overflowPunct/>
        <w:topLinePunct w:val="0"/>
        <w:autoSpaceDE w:val="0"/>
        <w:autoSpaceDN w:val="0"/>
        <w:bidi w:val="0"/>
        <w:adjustRightInd w:val="0"/>
        <w:snapToGrid w:val="0"/>
        <w:spacing w:before="0" w:line="324" w:lineRule="auto"/>
        <w:ind w:left="0" w:leftChars="0" w:right="0" w:firstLine="640" w:firstLineChars="200"/>
        <w:jc w:val="both"/>
        <w:textAlignment w:val="baseline"/>
        <w:rPr>
          <w:rFonts w:hint="eastAsia" w:ascii="仿宋" w:hAnsi="仿宋" w:eastAsia="仿宋" w:cs="仿宋"/>
          <w:i w:val="0"/>
          <w:iCs w:val="0"/>
          <w:caps w:val="0"/>
          <w:color w:val="auto"/>
          <w:spacing w:val="0"/>
          <w:kern w:val="0"/>
          <w:sz w:val="32"/>
          <w:szCs w:val="32"/>
          <w:lang w:val="en-US" w:eastAsia="zh-CN" w:bidi="ar"/>
        </w:rPr>
      </w:pPr>
      <w:r>
        <w:rPr>
          <w:rFonts w:hint="eastAsia" w:ascii="仿宋" w:hAnsi="仿宋" w:eastAsia="仿宋" w:cs="仿宋"/>
          <w:color w:val="auto"/>
          <w:sz w:val="32"/>
          <w:szCs w:val="32"/>
          <w:lang w:eastAsia="zh-CN"/>
        </w:rPr>
        <w:t>编制项目建议书、可行性研究报告；</w:t>
      </w:r>
    </w:p>
    <w:p w14:paraId="40294730">
      <w:pPr>
        <w:pStyle w:val="4"/>
        <w:keepNext w:val="0"/>
        <w:keepLines w:val="0"/>
        <w:pageBreakBefore w:val="0"/>
        <w:widowControl/>
        <w:numPr>
          <w:ilvl w:val="0"/>
          <w:numId w:val="3"/>
        </w:numPr>
        <w:kinsoku/>
        <w:wordWrap/>
        <w:overflowPunct/>
        <w:topLinePunct w:val="0"/>
        <w:autoSpaceDE w:val="0"/>
        <w:autoSpaceDN w:val="0"/>
        <w:bidi w:val="0"/>
        <w:adjustRightInd w:val="0"/>
        <w:snapToGrid w:val="0"/>
        <w:spacing w:before="0" w:line="324" w:lineRule="auto"/>
        <w:ind w:left="0" w:leftChars="0" w:right="0" w:firstLine="640" w:firstLineChars="200"/>
        <w:jc w:val="both"/>
        <w:textAlignment w:val="baseline"/>
        <w:rPr>
          <w:rFonts w:hint="eastAsia" w:ascii="仿宋" w:hAnsi="仿宋" w:eastAsia="仿宋" w:cs="仿宋"/>
          <w:i w:val="0"/>
          <w:iCs w:val="0"/>
          <w:caps w:val="0"/>
          <w:color w:val="auto"/>
          <w:spacing w:val="0"/>
          <w:kern w:val="0"/>
          <w:sz w:val="32"/>
          <w:szCs w:val="32"/>
          <w:lang w:val="en-US" w:eastAsia="zh-CN" w:bidi="ar"/>
        </w:rPr>
      </w:pPr>
      <w:r>
        <w:rPr>
          <w:rFonts w:hint="eastAsia" w:ascii="仿宋" w:hAnsi="仿宋" w:eastAsia="仿宋" w:cs="仿宋"/>
          <w:color w:val="auto"/>
          <w:sz w:val="32"/>
          <w:szCs w:val="32"/>
          <w:lang w:eastAsia="zh-CN"/>
        </w:rPr>
        <w:t>对第三方编制的招标文件进行全流程合规性审查；</w:t>
      </w:r>
    </w:p>
    <w:p w14:paraId="51F77726">
      <w:pPr>
        <w:pStyle w:val="4"/>
        <w:keepNext w:val="0"/>
        <w:keepLines w:val="0"/>
        <w:pageBreakBefore w:val="0"/>
        <w:widowControl/>
        <w:numPr>
          <w:ilvl w:val="0"/>
          <w:numId w:val="3"/>
        </w:numPr>
        <w:kinsoku/>
        <w:wordWrap/>
        <w:overflowPunct/>
        <w:topLinePunct w:val="0"/>
        <w:autoSpaceDE w:val="0"/>
        <w:autoSpaceDN w:val="0"/>
        <w:bidi w:val="0"/>
        <w:adjustRightInd w:val="0"/>
        <w:snapToGrid w:val="0"/>
        <w:spacing w:before="0" w:line="324" w:lineRule="auto"/>
        <w:ind w:left="0" w:leftChars="0" w:right="0" w:firstLine="640" w:firstLineChars="200"/>
        <w:jc w:val="both"/>
        <w:textAlignment w:val="baseline"/>
        <w:rPr>
          <w:rFonts w:hint="eastAsia" w:ascii="仿宋" w:hAnsi="仿宋" w:eastAsia="仿宋" w:cs="仿宋"/>
          <w:color w:val="auto"/>
          <w:sz w:val="32"/>
          <w:szCs w:val="32"/>
          <w:lang w:val="en-US" w:eastAsia="zh-CN"/>
        </w:rPr>
      </w:pPr>
      <w:r>
        <w:rPr>
          <w:rFonts w:hint="eastAsia" w:ascii="仿宋" w:hAnsi="仿宋" w:eastAsia="仿宋" w:cs="仿宋"/>
          <w:color w:val="auto"/>
          <w:sz w:val="32"/>
          <w:szCs w:val="32"/>
          <w:lang w:val="en-US" w:eastAsia="zh-CN"/>
        </w:rPr>
        <w:t>开展或协助开展项目后评价；</w:t>
      </w:r>
    </w:p>
    <w:p w14:paraId="249B68E9">
      <w:pPr>
        <w:pStyle w:val="4"/>
        <w:keepNext w:val="0"/>
        <w:keepLines w:val="0"/>
        <w:pageBreakBefore w:val="0"/>
        <w:widowControl/>
        <w:numPr>
          <w:ilvl w:val="0"/>
          <w:numId w:val="3"/>
        </w:numPr>
        <w:kinsoku/>
        <w:wordWrap/>
        <w:overflowPunct/>
        <w:topLinePunct w:val="0"/>
        <w:autoSpaceDE w:val="0"/>
        <w:autoSpaceDN w:val="0"/>
        <w:bidi w:val="0"/>
        <w:adjustRightInd w:val="0"/>
        <w:snapToGrid w:val="0"/>
        <w:spacing w:before="0" w:line="324" w:lineRule="auto"/>
        <w:ind w:left="0" w:leftChars="0" w:right="0" w:firstLine="640" w:firstLineChars="200"/>
        <w:jc w:val="both"/>
        <w:textAlignment w:val="baseline"/>
        <w:rPr>
          <w:rFonts w:hint="eastAsia" w:ascii="仿宋" w:hAnsi="仿宋" w:eastAsia="仿宋" w:cs="仿宋"/>
          <w:color w:val="auto"/>
          <w:sz w:val="32"/>
          <w:szCs w:val="32"/>
          <w:lang w:val="en-US" w:eastAsia="zh-CN" w:bidi="ar"/>
        </w:rPr>
      </w:pPr>
      <w:r>
        <w:rPr>
          <w:rFonts w:hint="eastAsia" w:ascii="仿宋" w:hAnsi="仿宋" w:eastAsia="仿宋" w:cs="仿宋"/>
          <w:i w:val="0"/>
          <w:iCs w:val="0"/>
          <w:caps w:val="0"/>
          <w:color w:val="auto"/>
          <w:spacing w:val="0"/>
          <w:kern w:val="0"/>
          <w:sz w:val="32"/>
          <w:szCs w:val="32"/>
          <w:lang w:val="en-US" w:eastAsia="zh-CN" w:bidi="ar"/>
        </w:rPr>
        <w:t>协助招标人建立健全招标投标事项的研究决策、合规审查、监督纠错、绩效评价、风险防控等管理机制；</w:t>
      </w:r>
    </w:p>
    <w:p w14:paraId="22E7A9F7">
      <w:pPr>
        <w:pStyle w:val="4"/>
        <w:keepNext w:val="0"/>
        <w:keepLines w:val="0"/>
        <w:pageBreakBefore w:val="0"/>
        <w:widowControl/>
        <w:numPr>
          <w:ilvl w:val="0"/>
          <w:numId w:val="3"/>
        </w:numPr>
        <w:kinsoku/>
        <w:wordWrap/>
        <w:overflowPunct/>
        <w:topLinePunct w:val="0"/>
        <w:autoSpaceDE w:val="0"/>
        <w:autoSpaceDN w:val="0"/>
        <w:bidi w:val="0"/>
        <w:adjustRightInd w:val="0"/>
        <w:snapToGrid w:val="0"/>
        <w:spacing w:before="0" w:line="324" w:lineRule="auto"/>
        <w:ind w:left="0" w:leftChars="0" w:right="0" w:firstLine="640" w:firstLineChars="200"/>
        <w:jc w:val="both"/>
        <w:textAlignment w:val="baseline"/>
        <w:rPr>
          <w:rFonts w:hint="eastAsia" w:ascii="仿宋" w:hAnsi="仿宋" w:eastAsia="仿宋" w:cs="仿宋"/>
          <w:color w:val="auto"/>
          <w:sz w:val="32"/>
          <w:szCs w:val="32"/>
          <w:lang w:val="en-US" w:eastAsia="zh-CN" w:bidi="ar"/>
        </w:rPr>
      </w:pPr>
      <w:r>
        <w:rPr>
          <w:rFonts w:hint="eastAsia" w:ascii="仿宋" w:hAnsi="仿宋" w:eastAsia="仿宋" w:cs="仿宋"/>
          <w:b w:val="0"/>
          <w:bCs w:val="0"/>
          <w:i w:val="0"/>
          <w:iCs w:val="0"/>
          <w:caps w:val="0"/>
          <w:strike w:val="0"/>
          <w:dstrike w:val="0"/>
          <w:color w:val="auto"/>
          <w:spacing w:val="0"/>
          <w:kern w:val="0"/>
          <w:sz w:val="32"/>
          <w:szCs w:val="32"/>
          <w:lang w:val="en-US" w:eastAsia="zh-CN" w:bidi="ar"/>
        </w:rPr>
        <w:t>提供与招标项目相关的其他专业化、定制化服务</w:t>
      </w:r>
      <w:r>
        <w:rPr>
          <w:rFonts w:hint="eastAsia" w:ascii="仿宋" w:hAnsi="仿宋" w:eastAsia="仿宋" w:cs="仿宋"/>
          <w:color w:val="auto"/>
          <w:sz w:val="32"/>
          <w:szCs w:val="32"/>
          <w:lang w:val="en-US" w:eastAsia="zh-CN"/>
        </w:rPr>
        <w:t>等。</w:t>
      </w:r>
      <w:r>
        <w:rPr>
          <w:rFonts w:hint="eastAsia" w:ascii="仿宋" w:hAnsi="仿宋" w:eastAsia="仿宋" w:cs="仿宋"/>
          <w:color w:val="auto"/>
          <w:sz w:val="32"/>
          <w:szCs w:val="32"/>
          <w:lang w:eastAsia="zh-CN"/>
        </w:rPr>
        <w:t>参照上述同类项目，由双方协商确定</w:t>
      </w:r>
      <w:r>
        <w:rPr>
          <w:rFonts w:hint="eastAsia" w:ascii="仿宋" w:hAnsi="仿宋" w:eastAsia="仿宋" w:cs="仿宋"/>
          <w:b w:val="0"/>
          <w:bCs w:val="0"/>
          <w:i w:val="0"/>
          <w:iCs w:val="0"/>
          <w:caps w:val="0"/>
          <w:strike w:val="0"/>
          <w:dstrike w:val="0"/>
          <w:color w:val="auto"/>
          <w:spacing w:val="0"/>
          <w:kern w:val="0"/>
          <w:sz w:val="32"/>
          <w:szCs w:val="32"/>
          <w:lang w:val="en-US" w:eastAsia="zh-CN" w:bidi="ar"/>
        </w:rPr>
        <w:t>。</w:t>
      </w:r>
    </w:p>
    <w:p w14:paraId="3EEF74CF">
      <w:pPr>
        <w:pStyle w:val="4"/>
        <w:numPr>
          <w:ilvl w:val="-1"/>
          <w:numId w:val="0"/>
        </w:numPr>
        <w:kinsoku/>
        <w:spacing w:before="120" w:beforeLines="50" w:line="324" w:lineRule="auto"/>
        <w:ind w:firstLine="643" w:firstLineChars="200"/>
        <w:jc w:val="both"/>
        <w:rPr>
          <w:rFonts w:hint="eastAsia" w:ascii="Times New Roman" w:hAnsi="Times New Roman" w:eastAsia="仿宋" w:cs="Times New Roman"/>
          <w:strike/>
          <w:dstrike w:val="0"/>
          <w:color w:val="auto"/>
          <w:sz w:val="32"/>
          <w:szCs w:val="32"/>
          <w:highlight w:val="none"/>
          <w:lang w:eastAsia="zh-CN"/>
        </w:rPr>
      </w:pPr>
      <w:r>
        <w:rPr>
          <w:rFonts w:hint="eastAsia" w:ascii="Times New Roman" w:hAnsi="Times New Roman" w:eastAsia="仿宋" w:cs="Times New Roman"/>
          <w:b/>
          <w:bCs/>
          <w:color w:val="auto"/>
          <w:sz w:val="32"/>
          <w:szCs w:val="32"/>
          <w:highlight w:val="none"/>
          <w:lang w:eastAsia="zh-CN"/>
        </w:rPr>
        <w:t>第</w:t>
      </w:r>
      <w:r>
        <w:rPr>
          <w:rFonts w:hint="eastAsia" w:ascii="Times New Roman" w:hAnsi="Times New Roman" w:eastAsia="仿宋" w:cs="Times New Roman"/>
          <w:b/>
          <w:bCs/>
          <w:color w:val="auto"/>
          <w:sz w:val="32"/>
          <w:szCs w:val="32"/>
          <w:highlight w:val="none"/>
          <w:lang w:val="en-US" w:eastAsia="zh-CN"/>
        </w:rPr>
        <w:t>十</w:t>
      </w:r>
      <w:r>
        <w:rPr>
          <w:rFonts w:hint="eastAsia" w:ascii="Times New Roman" w:hAnsi="Times New Roman" w:eastAsia="仿宋" w:cs="Times New Roman"/>
          <w:b/>
          <w:bCs/>
          <w:color w:val="auto"/>
          <w:sz w:val="32"/>
          <w:szCs w:val="32"/>
          <w:highlight w:val="none"/>
          <w:lang w:eastAsia="zh-CN"/>
        </w:rPr>
        <w:t>条</w:t>
      </w:r>
      <w:r>
        <w:rPr>
          <w:rFonts w:hint="eastAsia" w:ascii="Times New Roman" w:hAnsi="Times New Roman" w:eastAsia="仿宋" w:cs="Times New Roman"/>
          <w:color w:val="auto"/>
          <w:sz w:val="32"/>
          <w:szCs w:val="32"/>
          <w:highlight w:val="none"/>
          <w:lang w:eastAsia="zh-CN"/>
        </w:rPr>
        <w:t>　增值服务费由招标代理机构与招标人根据服务的专业性、复杂程度、预期价值及资源投入，协商采用更体现智力成果价值的计费模式（如成本加酬金、固定酬金等），并</w:t>
      </w:r>
      <w:r>
        <w:rPr>
          <w:rFonts w:hint="eastAsia" w:ascii="Times New Roman" w:hAnsi="Times New Roman" w:eastAsia="仿宋" w:cs="Times New Roman"/>
          <w:color w:val="auto"/>
          <w:sz w:val="32"/>
          <w:szCs w:val="32"/>
          <w:highlight w:val="none"/>
          <w:lang w:val="en-US" w:eastAsia="zh-CN"/>
        </w:rPr>
        <w:t>在委托</w:t>
      </w:r>
      <w:r>
        <w:rPr>
          <w:rFonts w:hint="eastAsia" w:ascii="Times New Roman" w:hAnsi="Times New Roman" w:eastAsia="仿宋" w:cs="Times New Roman"/>
          <w:color w:val="auto"/>
          <w:sz w:val="32"/>
          <w:szCs w:val="32"/>
          <w:highlight w:val="none"/>
          <w:lang w:eastAsia="zh-CN"/>
        </w:rPr>
        <w:t>合同中</w:t>
      </w:r>
      <w:r>
        <w:rPr>
          <w:rFonts w:hint="eastAsia" w:ascii="Times New Roman" w:hAnsi="Times New Roman" w:eastAsia="仿宋" w:cs="Times New Roman"/>
          <w:color w:val="auto"/>
          <w:sz w:val="32"/>
          <w:szCs w:val="32"/>
          <w:highlight w:val="none"/>
          <w:lang w:val="en-US" w:eastAsia="zh-CN"/>
        </w:rPr>
        <w:t>单独</w:t>
      </w:r>
      <w:r>
        <w:rPr>
          <w:rFonts w:hint="eastAsia" w:ascii="Times New Roman" w:hAnsi="Times New Roman" w:eastAsia="仿宋" w:cs="Times New Roman"/>
          <w:color w:val="auto"/>
          <w:sz w:val="32"/>
          <w:szCs w:val="32"/>
          <w:highlight w:val="none"/>
          <w:lang w:eastAsia="zh-CN"/>
        </w:rPr>
        <w:t>明确。</w:t>
      </w:r>
    </w:p>
    <w:p w14:paraId="4CBE5E8D">
      <w:pPr>
        <w:pStyle w:val="4"/>
        <w:numPr>
          <w:ilvl w:val="-1"/>
          <w:numId w:val="0"/>
        </w:numPr>
        <w:kinsoku/>
        <w:spacing w:before="120" w:beforeLines="50" w:afterLines="-2147483648" w:line="324" w:lineRule="auto"/>
        <w:ind w:firstLine="643" w:firstLineChars="200"/>
        <w:jc w:val="both"/>
        <w:rPr>
          <w:rFonts w:hint="eastAsia" w:ascii="FangSong_GB2312" w:hAnsi="FangSong_GB2312" w:eastAsia="FangSong_GB2312"/>
          <w:color w:val="auto"/>
          <w:sz w:val="32"/>
          <w:szCs w:val="24"/>
          <w:highlight w:val="none"/>
          <w:lang w:val="en-US" w:eastAsia="zh-CN"/>
        </w:rPr>
      </w:pPr>
      <w:r>
        <w:rPr>
          <w:rFonts w:hint="eastAsia" w:ascii="Times New Roman" w:hAnsi="Times New Roman" w:eastAsia="仿宋" w:cs="Times New Roman"/>
          <w:b/>
          <w:bCs/>
          <w:color w:val="auto"/>
          <w:sz w:val="32"/>
          <w:szCs w:val="32"/>
          <w:highlight w:val="none"/>
          <w:u w:val="none"/>
          <w:lang w:eastAsia="zh-CN"/>
        </w:rPr>
        <w:t>第十</w:t>
      </w:r>
      <w:r>
        <w:rPr>
          <w:rFonts w:hint="eastAsia" w:ascii="Times New Roman" w:hAnsi="Times New Roman" w:eastAsia="仿宋" w:cs="Times New Roman"/>
          <w:b/>
          <w:bCs/>
          <w:color w:val="auto"/>
          <w:sz w:val="32"/>
          <w:szCs w:val="32"/>
          <w:highlight w:val="none"/>
          <w:u w:val="none"/>
          <w:lang w:val="en-US" w:eastAsia="zh-CN"/>
        </w:rPr>
        <w:t>一</w:t>
      </w:r>
      <w:r>
        <w:rPr>
          <w:rFonts w:hint="eastAsia" w:ascii="Times New Roman" w:hAnsi="Times New Roman" w:eastAsia="仿宋" w:cs="Times New Roman"/>
          <w:b/>
          <w:bCs/>
          <w:color w:val="auto"/>
          <w:sz w:val="32"/>
          <w:szCs w:val="32"/>
          <w:highlight w:val="none"/>
          <w:u w:val="none"/>
          <w:lang w:eastAsia="zh-CN"/>
        </w:rPr>
        <w:t>条</w:t>
      </w:r>
      <w:r>
        <w:rPr>
          <w:rFonts w:hint="eastAsia" w:ascii="Times New Roman" w:hAnsi="Times New Roman" w:eastAsia="仿宋" w:cs="Times New Roman"/>
          <w:color w:val="auto"/>
          <w:sz w:val="32"/>
          <w:szCs w:val="32"/>
          <w:highlight w:val="none"/>
          <w:u w:val="none"/>
          <w:lang w:eastAsia="zh-CN"/>
        </w:rPr>
        <w:t>　</w:t>
      </w:r>
      <w:r>
        <w:rPr>
          <w:rFonts w:hint="eastAsia" w:ascii="Times New Roman" w:hAnsi="Times New Roman" w:eastAsia="仿宋" w:cs="Times New Roman"/>
          <w:dstrike w:val="0"/>
          <w:color w:val="auto"/>
          <w:sz w:val="32"/>
          <w:szCs w:val="32"/>
          <w:highlight w:val="none"/>
          <w:u w:val="none"/>
          <w:lang w:eastAsia="zh-CN"/>
        </w:rPr>
        <w:t>采用谈判采购、询比采购、竞价采购、直接采购等非招标方式的采购项目，以及集中采购、联合采购、框架协议采购、</w:t>
      </w:r>
      <w:r>
        <w:rPr>
          <w:rFonts w:hint="eastAsia" w:ascii="Times New Roman" w:hAnsi="Times New Roman" w:eastAsia="仿宋" w:cs="Times New Roman"/>
          <w:dstrike w:val="0"/>
          <w:color w:val="auto"/>
          <w:sz w:val="32"/>
          <w:szCs w:val="32"/>
          <w:highlight w:val="none"/>
          <w:u w:val="none"/>
          <w:lang w:val="en-US" w:eastAsia="zh-CN"/>
        </w:rPr>
        <w:t>征集入库</w:t>
      </w:r>
      <w:r>
        <w:rPr>
          <w:rFonts w:hint="eastAsia" w:ascii="Times New Roman" w:hAnsi="Times New Roman" w:eastAsia="仿宋" w:cs="Times New Roman"/>
          <w:dstrike w:val="0"/>
          <w:color w:val="auto"/>
          <w:sz w:val="32"/>
          <w:szCs w:val="32"/>
          <w:highlight w:val="none"/>
          <w:u w:val="none"/>
          <w:lang w:eastAsia="zh-CN"/>
        </w:rPr>
        <w:t>等采购组织形式</w:t>
      </w:r>
      <w:r>
        <w:rPr>
          <w:rFonts w:hint="eastAsia" w:ascii="Times New Roman" w:hAnsi="Times New Roman" w:eastAsia="仿宋" w:cs="Times New Roman"/>
          <w:dstrike w:val="0"/>
          <w:color w:val="auto"/>
          <w:sz w:val="32"/>
          <w:szCs w:val="32"/>
          <w:highlight w:val="none"/>
          <w:u w:val="none"/>
          <w:lang w:val="en-US" w:eastAsia="zh-CN"/>
        </w:rPr>
        <w:t>的项目</w:t>
      </w:r>
      <w:r>
        <w:rPr>
          <w:rFonts w:hint="eastAsia" w:ascii="Times New Roman" w:hAnsi="Times New Roman" w:eastAsia="仿宋" w:cs="Times New Roman"/>
          <w:dstrike w:val="0"/>
          <w:color w:val="auto"/>
          <w:sz w:val="32"/>
          <w:szCs w:val="32"/>
          <w:highlight w:val="none"/>
          <w:u w:val="none"/>
          <w:lang w:eastAsia="zh-CN"/>
        </w:rPr>
        <w:t>，</w:t>
      </w:r>
      <w:r>
        <w:rPr>
          <w:rFonts w:hint="eastAsia" w:ascii="Times New Roman" w:hAnsi="Times New Roman" w:eastAsia="仿宋" w:cs="Times New Roman"/>
          <w:dstrike w:val="0"/>
          <w:color w:val="auto"/>
          <w:sz w:val="32"/>
          <w:szCs w:val="32"/>
          <w:highlight w:val="none"/>
          <w:u w:val="none"/>
          <w:lang w:val="en-US" w:eastAsia="zh-CN"/>
        </w:rPr>
        <w:t>可综合考量</w:t>
      </w:r>
      <w:r>
        <w:rPr>
          <w:rFonts w:hint="eastAsia" w:ascii="Times New Roman" w:hAnsi="Times New Roman" w:eastAsia="仿宋" w:cs="Times New Roman"/>
          <w:color w:val="auto"/>
          <w:sz w:val="32"/>
          <w:szCs w:val="32"/>
          <w:highlight w:val="none"/>
          <w:u w:val="none"/>
          <w:lang w:val="en-US" w:eastAsia="zh-CN"/>
        </w:rPr>
        <w:t>项目</w:t>
      </w:r>
      <w:r>
        <w:rPr>
          <w:rFonts w:hint="eastAsia" w:ascii="Times New Roman" w:hAnsi="Times New Roman" w:eastAsia="仿宋" w:cs="Times New Roman"/>
          <w:color w:val="auto"/>
          <w:sz w:val="32"/>
          <w:szCs w:val="32"/>
          <w:highlight w:val="none"/>
          <w:u w:val="none"/>
          <w:lang w:eastAsia="zh-CN"/>
        </w:rPr>
        <w:t>服务流程、</w:t>
      </w:r>
      <w:r>
        <w:rPr>
          <w:rFonts w:hint="eastAsia" w:ascii="Times New Roman" w:hAnsi="Times New Roman" w:eastAsia="仿宋" w:cs="Times New Roman"/>
          <w:color w:val="auto"/>
          <w:sz w:val="32"/>
          <w:szCs w:val="32"/>
          <w:highlight w:val="none"/>
          <w:u w:val="none"/>
          <w:lang w:val="en-US" w:eastAsia="zh-CN"/>
        </w:rPr>
        <w:t>服务</w:t>
      </w:r>
      <w:r>
        <w:rPr>
          <w:rFonts w:hint="eastAsia" w:ascii="Times New Roman" w:hAnsi="Times New Roman" w:eastAsia="仿宋" w:cs="Times New Roman"/>
          <w:color w:val="auto"/>
          <w:sz w:val="32"/>
          <w:szCs w:val="32"/>
          <w:highlight w:val="none"/>
          <w:u w:val="none"/>
          <w:lang w:eastAsia="zh-CN"/>
        </w:rPr>
        <w:t>周期、工作量</w:t>
      </w:r>
      <w:r>
        <w:rPr>
          <w:rFonts w:hint="eastAsia" w:ascii="Times New Roman" w:hAnsi="Times New Roman" w:eastAsia="仿宋" w:cs="Times New Roman"/>
          <w:color w:val="auto"/>
          <w:sz w:val="32"/>
          <w:szCs w:val="32"/>
          <w:highlight w:val="none"/>
          <w:u w:val="none"/>
          <w:lang w:val="en-US" w:eastAsia="zh-CN"/>
        </w:rPr>
        <w:t>大小</w:t>
      </w:r>
      <w:r>
        <w:rPr>
          <w:rFonts w:hint="eastAsia" w:ascii="Times New Roman" w:hAnsi="Times New Roman" w:eastAsia="仿宋" w:cs="Times New Roman"/>
          <w:color w:val="auto"/>
          <w:sz w:val="32"/>
          <w:szCs w:val="32"/>
          <w:highlight w:val="none"/>
          <w:u w:val="none"/>
          <w:lang w:eastAsia="zh-CN"/>
        </w:rPr>
        <w:t>、技术复杂程度等因素，</w:t>
      </w:r>
      <w:r>
        <w:rPr>
          <w:rFonts w:hint="eastAsia" w:ascii="Times New Roman" w:hAnsi="Times New Roman" w:eastAsia="仿宋" w:cs="Times New Roman"/>
          <w:dstrike w:val="0"/>
          <w:color w:val="auto"/>
          <w:sz w:val="32"/>
          <w:szCs w:val="32"/>
          <w:highlight w:val="none"/>
          <w:u w:val="none"/>
          <w:lang w:eastAsia="zh-CN"/>
        </w:rPr>
        <w:t>参照</w:t>
      </w:r>
      <w:r>
        <w:rPr>
          <w:rFonts w:hint="eastAsia" w:ascii="Times New Roman" w:hAnsi="Times New Roman" w:eastAsia="仿宋" w:cs="Times New Roman"/>
          <w:dstrike w:val="0"/>
          <w:color w:val="auto"/>
          <w:sz w:val="32"/>
          <w:szCs w:val="32"/>
          <w:highlight w:val="none"/>
          <w:u w:val="none"/>
          <w:lang w:val="en-US" w:eastAsia="zh-CN"/>
        </w:rPr>
        <w:t>本指引第七条和第八条</w:t>
      </w:r>
      <w:r>
        <w:rPr>
          <w:rFonts w:hint="eastAsia" w:ascii="Times New Roman" w:hAnsi="Times New Roman" w:eastAsia="仿宋" w:cs="Times New Roman"/>
          <w:color w:val="auto"/>
          <w:sz w:val="32"/>
          <w:szCs w:val="32"/>
          <w:highlight w:val="none"/>
          <w:u w:val="none"/>
          <w:lang w:eastAsia="zh-CN"/>
        </w:rPr>
        <w:t>，由双方协商确定</w:t>
      </w:r>
      <w:r>
        <w:rPr>
          <w:rFonts w:hint="eastAsia" w:ascii="Times New Roman" w:hAnsi="Times New Roman" w:eastAsia="仿宋" w:cs="Times New Roman"/>
          <w:color w:val="auto"/>
          <w:sz w:val="32"/>
          <w:szCs w:val="32"/>
          <w:highlight w:val="none"/>
          <w:u w:val="none"/>
          <w:lang w:val="en-US" w:eastAsia="zh-CN"/>
        </w:rPr>
        <w:t>项目计费方式和金额</w:t>
      </w:r>
      <w:r>
        <w:rPr>
          <w:rFonts w:hint="eastAsia" w:ascii="Times New Roman" w:hAnsi="Times New Roman" w:eastAsia="仿宋" w:cs="Times New Roman"/>
          <w:color w:val="auto"/>
          <w:sz w:val="32"/>
          <w:szCs w:val="32"/>
          <w:highlight w:val="none"/>
          <w:u w:val="none"/>
          <w:lang w:eastAsia="zh-CN"/>
        </w:rPr>
        <w:t>。</w:t>
      </w:r>
    </w:p>
    <w:p w14:paraId="18D29713">
      <w:pPr>
        <w:kinsoku/>
        <w:spacing w:before="234" w:line="324" w:lineRule="auto"/>
        <w:jc w:val="center"/>
        <w:rPr>
          <w:rFonts w:hint="eastAsia" w:ascii="Times New Roman" w:hAnsi="Times New Roman" w:eastAsia="黑体" w:cs="Times New Roman"/>
          <w:color w:val="auto"/>
          <w:sz w:val="32"/>
          <w:szCs w:val="32"/>
          <w:highlight w:val="none"/>
          <w:lang w:eastAsia="zh-CN"/>
        </w:rPr>
      </w:pPr>
      <w:r>
        <w:rPr>
          <w:rFonts w:hint="eastAsia" w:ascii="Times New Roman" w:hAnsi="Times New Roman" w:eastAsia="黑体" w:cs="Times New Roman"/>
          <w:color w:val="auto"/>
          <w:sz w:val="32"/>
          <w:szCs w:val="32"/>
          <w:highlight w:val="none"/>
          <w:lang w:eastAsia="zh-CN"/>
        </w:rPr>
        <w:t>第四章　收费行为规范</w:t>
      </w:r>
      <w:bookmarkEnd w:id="4"/>
    </w:p>
    <w:p w14:paraId="3DA09719">
      <w:pPr>
        <w:pStyle w:val="4"/>
        <w:kinsoku/>
        <w:spacing w:before="120" w:beforeLines="50" w:line="324" w:lineRule="auto"/>
        <w:ind w:firstLine="643" w:firstLineChars="200"/>
        <w:jc w:val="both"/>
        <w:rPr>
          <w:rFonts w:hint="eastAsia" w:ascii="仿宋" w:hAnsi="仿宋" w:eastAsia="仿宋" w:cs="仿宋"/>
          <w:b w:val="0"/>
          <w:bCs w:val="0"/>
          <w:color w:val="auto"/>
          <w:sz w:val="32"/>
          <w:szCs w:val="32"/>
          <w:highlight w:val="none"/>
          <w:lang w:val="en-US" w:eastAsia="zh-CN"/>
        </w:rPr>
      </w:pPr>
      <w:bookmarkStart w:id="5" w:name="OLE_LINK5"/>
      <w:r>
        <w:rPr>
          <w:rFonts w:hint="eastAsia" w:ascii="仿宋" w:hAnsi="仿宋" w:eastAsia="仿宋" w:cs="仿宋"/>
          <w:b/>
          <w:bCs/>
          <w:color w:val="auto"/>
          <w:sz w:val="32"/>
          <w:szCs w:val="32"/>
          <w:highlight w:val="none"/>
          <w:lang w:eastAsia="zh-CN"/>
        </w:rPr>
        <w:t>第</w:t>
      </w:r>
      <w:r>
        <w:rPr>
          <w:rFonts w:hint="eastAsia" w:ascii="仿宋" w:hAnsi="仿宋" w:eastAsia="仿宋" w:cs="仿宋"/>
          <w:b/>
          <w:bCs/>
          <w:color w:val="auto"/>
          <w:sz w:val="32"/>
          <w:szCs w:val="32"/>
          <w:highlight w:val="none"/>
          <w:lang w:val="en-US" w:eastAsia="zh-CN"/>
        </w:rPr>
        <w:t>十二</w:t>
      </w:r>
      <w:r>
        <w:rPr>
          <w:rFonts w:hint="eastAsia" w:ascii="仿宋" w:hAnsi="仿宋" w:eastAsia="仿宋" w:cs="仿宋"/>
          <w:b/>
          <w:bCs/>
          <w:color w:val="auto"/>
          <w:sz w:val="32"/>
          <w:szCs w:val="32"/>
          <w:highlight w:val="none"/>
          <w:lang w:eastAsia="zh-CN"/>
        </w:rPr>
        <w:t>条　</w:t>
      </w:r>
      <w:r>
        <w:rPr>
          <w:rFonts w:hint="eastAsia" w:ascii="仿宋" w:hAnsi="仿宋" w:eastAsia="仿宋" w:cs="仿宋"/>
          <w:b w:val="0"/>
          <w:bCs w:val="0"/>
          <w:color w:val="auto"/>
          <w:sz w:val="32"/>
          <w:szCs w:val="32"/>
          <w:highlight w:val="none"/>
          <w:lang w:eastAsia="zh-CN"/>
        </w:rPr>
        <w:t>常规服务</w:t>
      </w:r>
      <w:r>
        <w:rPr>
          <w:rFonts w:hint="eastAsia" w:ascii="仿宋" w:hAnsi="仿宋" w:eastAsia="仿宋" w:cs="仿宋"/>
          <w:color w:val="auto"/>
          <w:sz w:val="32"/>
          <w:szCs w:val="32"/>
          <w:highlight w:val="none"/>
          <w:lang w:eastAsia="zh-CN"/>
        </w:rPr>
        <w:t>费</w:t>
      </w:r>
      <w:r>
        <w:rPr>
          <w:rFonts w:hint="eastAsia" w:ascii="仿宋" w:hAnsi="仿宋" w:eastAsia="仿宋" w:cs="仿宋"/>
          <w:b w:val="0"/>
          <w:bCs w:val="0"/>
          <w:color w:val="auto"/>
          <w:sz w:val="32"/>
          <w:szCs w:val="32"/>
          <w:highlight w:val="none"/>
          <w:lang w:val="en-US" w:eastAsia="zh-CN"/>
        </w:rPr>
        <w:t>原则上</w:t>
      </w:r>
      <w:r>
        <w:rPr>
          <w:rFonts w:hint="eastAsia" w:ascii="仿宋" w:hAnsi="仿宋" w:eastAsia="仿宋" w:cs="仿宋"/>
          <w:b w:val="0"/>
          <w:bCs w:val="0"/>
          <w:color w:val="auto"/>
          <w:sz w:val="32"/>
          <w:szCs w:val="32"/>
          <w:highlight w:val="none"/>
          <w:lang w:eastAsia="zh-CN"/>
        </w:rPr>
        <w:t>由招标人支付。</w:t>
      </w:r>
      <w:r>
        <w:rPr>
          <w:rFonts w:hint="eastAsia" w:ascii="仿宋" w:hAnsi="仿宋" w:eastAsia="仿宋" w:cs="仿宋"/>
          <w:b w:val="0"/>
          <w:bCs w:val="0"/>
          <w:color w:val="auto"/>
          <w:sz w:val="32"/>
          <w:szCs w:val="32"/>
          <w:highlight w:val="none"/>
          <w:u w:val="none"/>
          <w:lang w:val="en-US" w:eastAsia="zh-CN"/>
        </w:rPr>
        <w:t>合同约定</w:t>
      </w:r>
      <w:r>
        <w:rPr>
          <w:rFonts w:hint="eastAsia" w:ascii="仿宋" w:hAnsi="仿宋" w:eastAsia="仿宋" w:cs="仿宋"/>
          <w:b w:val="0"/>
          <w:bCs w:val="0"/>
          <w:color w:val="auto"/>
          <w:sz w:val="32"/>
          <w:szCs w:val="32"/>
          <w:highlight w:val="none"/>
          <w:u w:val="none"/>
          <w:lang w:eastAsia="zh-CN"/>
        </w:rPr>
        <w:t>由中标人支付的，</w:t>
      </w:r>
      <w:r>
        <w:rPr>
          <w:rFonts w:hint="eastAsia" w:ascii="仿宋" w:hAnsi="仿宋" w:eastAsia="仿宋" w:cs="仿宋"/>
          <w:b w:val="0"/>
          <w:bCs w:val="0"/>
          <w:color w:val="auto"/>
          <w:sz w:val="32"/>
          <w:szCs w:val="32"/>
          <w:highlight w:val="none"/>
          <w:u w:val="none"/>
          <w:lang w:val="en-US" w:eastAsia="zh-CN"/>
        </w:rPr>
        <w:t>应</w:t>
      </w:r>
      <w:r>
        <w:rPr>
          <w:rFonts w:hint="eastAsia" w:ascii="仿宋" w:hAnsi="仿宋" w:eastAsia="仿宋" w:cs="仿宋"/>
          <w:b w:val="0"/>
          <w:bCs w:val="0"/>
          <w:color w:val="auto"/>
          <w:sz w:val="32"/>
          <w:szCs w:val="32"/>
          <w:highlight w:val="none"/>
          <w:u w:val="none"/>
          <w:lang w:eastAsia="zh-CN"/>
        </w:rPr>
        <w:t>在招标文件中明确载明。</w:t>
      </w:r>
    </w:p>
    <w:p w14:paraId="323668AE">
      <w:pPr>
        <w:pStyle w:val="4"/>
        <w:kinsoku/>
        <w:spacing w:before="120" w:beforeLines="50" w:line="324" w:lineRule="auto"/>
        <w:ind w:firstLine="643" w:firstLineChars="200"/>
        <w:jc w:val="both"/>
        <w:rPr>
          <w:rFonts w:hint="eastAsia" w:ascii="Times New Roman" w:hAnsi="Times New Roman" w:eastAsia="仿宋" w:cs="Times New Roman"/>
          <w:color w:val="auto"/>
          <w:sz w:val="32"/>
          <w:szCs w:val="32"/>
          <w:highlight w:val="none"/>
          <w:u w:val="none"/>
          <w:lang w:eastAsia="zh-CN"/>
        </w:rPr>
      </w:pPr>
      <w:r>
        <w:rPr>
          <w:rFonts w:hint="eastAsia" w:ascii="仿宋" w:hAnsi="仿宋" w:eastAsia="仿宋" w:cs="仿宋"/>
          <w:b/>
          <w:bCs/>
          <w:color w:val="auto"/>
          <w:sz w:val="32"/>
          <w:szCs w:val="32"/>
          <w:highlight w:val="none"/>
          <w:lang w:eastAsia="zh-CN"/>
        </w:rPr>
        <w:t>第</w:t>
      </w:r>
      <w:r>
        <w:rPr>
          <w:rFonts w:hint="eastAsia" w:ascii="仿宋" w:hAnsi="仿宋" w:eastAsia="仿宋" w:cs="仿宋"/>
          <w:b/>
          <w:bCs/>
          <w:color w:val="auto"/>
          <w:sz w:val="32"/>
          <w:szCs w:val="32"/>
          <w:highlight w:val="none"/>
          <w:lang w:val="en-US" w:eastAsia="zh-CN"/>
        </w:rPr>
        <w:t>十三</w:t>
      </w:r>
      <w:r>
        <w:rPr>
          <w:rFonts w:hint="eastAsia" w:ascii="仿宋" w:hAnsi="仿宋" w:eastAsia="仿宋" w:cs="仿宋"/>
          <w:b/>
          <w:bCs/>
          <w:color w:val="auto"/>
          <w:sz w:val="32"/>
          <w:szCs w:val="32"/>
          <w:highlight w:val="none"/>
          <w:lang w:eastAsia="zh-CN"/>
        </w:rPr>
        <w:t>条</w:t>
      </w:r>
      <w:r>
        <w:rPr>
          <w:rFonts w:hint="eastAsia" w:ascii="仿宋" w:hAnsi="仿宋" w:eastAsia="仿宋" w:cs="仿宋"/>
          <w:color w:val="auto"/>
          <w:sz w:val="32"/>
          <w:szCs w:val="32"/>
          <w:highlight w:val="none"/>
          <w:lang w:eastAsia="zh-CN"/>
        </w:rPr>
        <w:t>　</w:t>
      </w:r>
      <w:r>
        <w:rPr>
          <w:rFonts w:hint="eastAsia" w:ascii="Times New Roman" w:hAnsi="Times New Roman" w:eastAsia="仿宋" w:cs="Times New Roman"/>
          <w:color w:val="auto"/>
          <w:sz w:val="32"/>
          <w:szCs w:val="32"/>
          <w:highlight w:val="none"/>
          <w:u w:val="none"/>
          <w:lang w:eastAsia="zh-CN"/>
        </w:rPr>
        <w:t>常规服务收费浮动幅度</w:t>
      </w:r>
      <w:r>
        <w:rPr>
          <w:rFonts w:hint="eastAsia" w:ascii="Times New Roman" w:hAnsi="Times New Roman" w:eastAsia="仿宋" w:cs="Times New Roman"/>
          <w:color w:val="auto"/>
          <w:sz w:val="32"/>
          <w:szCs w:val="32"/>
          <w:highlight w:val="none"/>
          <w:u w:val="none"/>
          <w:lang w:val="en-US" w:eastAsia="zh-CN"/>
        </w:rPr>
        <w:t>建议</w:t>
      </w:r>
      <w:r>
        <w:rPr>
          <w:rFonts w:hint="eastAsia" w:ascii="Times New Roman" w:hAnsi="Times New Roman" w:eastAsia="仿宋" w:cs="Times New Roman"/>
          <w:color w:val="auto"/>
          <w:sz w:val="32"/>
          <w:szCs w:val="32"/>
          <w:highlight w:val="none"/>
          <w:u w:val="none"/>
          <w:lang w:eastAsia="zh-CN"/>
        </w:rPr>
        <w:t>为</w:t>
      </w:r>
      <w:r>
        <w:rPr>
          <w:rFonts w:hint="eastAsia" w:ascii="Times New Roman" w:hAnsi="Times New Roman" w:eastAsia="仿宋" w:cs="Times New Roman"/>
          <w:color w:val="auto"/>
          <w:sz w:val="32"/>
          <w:szCs w:val="32"/>
          <w:highlight w:val="none"/>
          <w:u w:val="none"/>
          <w:lang w:val="en-US" w:eastAsia="zh-CN"/>
        </w:rPr>
        <w:t>参考基准</w:t>
      </w:r>
      <w:r>
        <w:rPr>
          <w:rFonts w:hint="eastAsia" w:ascii="Times New Roman" w:hAnsi="Times New Roman" w:eastAsia="仿宋" w:cs="Times New Roman"/>
          <w:color w:val="auto"/>
          <w:sz w:val="32"/>
          <w:szCs w:val="32"/>
          <w:highlight w:val="none"/>
          <w:u w:val="none"/>
          <w:lang w:eastAsia="zh-CN"/>
        </w:rPr>
        <w:t>的±20%。</w:t>
      </w:r>
      <w:r>
        <w:rPr>
          <w:rFonts w:hint="eastAsia" w:ascii="Times New Roman" w:hAnsi="Times New Roman" w:eastAsia="仿宋" w:cs="Times New Roman"/>
          <w:color w:val="auto"/>
          <w:sz w:val="32"/>
          <w:szCs w:val="32"/>
          <w:highlight w:val="none"/>
          <w:u w:val="none"/>
          <w:lang w:val="en-US" w:eastAsia="zh-CN"/>
        </w:rPr>
        <w:t>存在批量委托、长期合作或其他合作情形的，收费可适度下浮</w:t>
      </w:r>
      <w:r>
        <w:rPr>
          <w:rFonts w:hint="eastAsia" w:ascii="Times New Roman" w:hAnsi="Times New Roman" w:eastAsia="仿宋" w:cs="Times New Roman"/>
          <w:color w:val="auto"/>
          <w:sz w:val="32"/>
          <w:szCs w:val="32"/>
          <w:highlight w:val="none"/>
          <w:u w:val="none"/>
          <w:lang w:eastAsia="zh-CN"/>
        </w:rPr>
        <w:t>。</w:t>
      </w:r>
    </w:p>
    <w:p w14:paraId="0814FC45">
      <w:pPr>
        <w:pStyle w:val="4"/>
        <w:keepNext w:val="0"/>
        <w:keepLines w:val="0"/>
        <w:pageBreakBefore w:val="0"/>
        <w:widowControl/>
        <w:kinsoku/>
        <w:wordWrap/>
        <w:overflowPunct/>
        <w:topLinePunct w:val="0"/>
        <w:autoSpaceDE w:val="0"/>
        <w:autoSpaceDN w:val="0"/>
        <w:bidi w:val="0"/>
        <w:adjustRightInd w:val="0"/>
        <w:snapToGrid w:val="0"/>
        <w:spacing w:before="120" w:beforeLines="50" w:line="324" w:lineRule="auto"/>
        <w:ind w:firstLine="643" w:firstLineChars="200"/>
        <w:jc w:val="both"/>
        <w:textAlignment w:val="baseline"/>
        <w:rPr>
          <w:rFonts w:hint="eastAsia" w:ascii="Times New Roman" w:hAnsi="Times New Roman" w:eastAsia="仿宋" w:cs="Times New Roman"/>
          <w:color w:val="auto"/>
          <w:sz w:val="32"/>
          <w:szCs w:val="32"/>
          <w:highlight w:val="none"/>
          <w:lang w:val="en-US" w:eastAsia="zh-CN"/>
        </w:rPr>
      </w:pPr>
      <w:r>
        <w:rPr>
          <w:rFonts w:hint="eastAsia" w:ascii="Times New Roman" w:hAnsi="Times New Roman" w:eastAsia="仿宋" w:cs="Times New Roman"/>
          <w:b/>
          <w:bCs/>
          <w:color w:val="auto"/>
          <w:sz w:val="32"/>
          <w:szCs w:val="32"/>
          <w:highlight w:val="none"/>
          <w:lang w:eastAsia="zh-CN"/>
        </w:rPr>
        <w:t>第十</w:t>
      </w:r>
      <w:r>
        <w:rPr>
          <w:rFonts w:hint="eastAsia" w:ascii="Times New Roman" w:hAnsi="Times New Roman" w:eastAsia="仿宋" w:cs="Times New Roman"/>
          <w:b/>
          <w:bCs/>
          <w:color w:val="auto"/>
          <w:sz w:val="32"/>
          <w:szCs w:val="32"/>
          <w:highlight w:val="none"/>
          <w:lang w:val="en-US" w:eastAsia="zh-CN"/>
        </w:rPr>
        <w:t>四</w:t>
      </w:r>
      <w:r>
        <w:rPr>
          <w:rFonts w:hint="eastAsia" w:ascii="Times New Roman" w:hAnsi="Times New Roman" w:eastAsia="仿宋" w:cs="Times New Roman"/>
          <w:b/>
          <w:bCs/>
          <w:color w:val="auto"/>
          <w:sz w:val="32"/>
          <w:szCs w:val="32"/>
          <w:highlight w:val="none"/>
          <w:lang w:eastAsia="zh-CN"/>
        </w:rPr>
        <w:t>条</w:t>
      </w:r>
      <w:r>
        <w:rPr>
          <w:rFonts w:hint="eastAsia" w:ascii="Times New Roman" w:hAnsi="Times New Roman" w:eastAsia="仿宋" w:cs="Times New Roman"/>
          <w:color w:val="auto"/>
          <w:sz w:val="32"/>
          <w:szCs w:val="32"/>
          <w:highlight w:val="none"/>
          <w:lang w:eastAsia="zh-CN"/>
        </w:rPr>
        <w:t>　</w:t>
      </w:r>
      <w:r>
        <w:rPr>
          <w:rFonts w:hint="eastAsia" w:ascii="Times New Roman" w:hAnsi="Times New Roman" w:eastAsia="仿宋" w:cs="Times New Roman"/>
          <w:color w:val="auto"/>
          <w:sz w:val="32"/>
          <w:szCs w:val="32"/>
          <w:highlight w:val="none"/>
          <w:lang w:val="en-US" w:eastAsia="zh-CN"/>
        </w:rPr>
        <w:t>因非招标代理原因导致招标失败的，常规服务费根据已完成的实际工作量，按以下方式计取：</w:t>
      </w:r>
    </w:p>
    <w:p w14:paraId="7377093C">
      <w:pPr>
        <w:numPr>
          <w:ilvl w:val="0"/>
          <w:numId w:val="4"/>
        </w:numPr>
        <w:kinsoku/>
        <w:autoSpaceDE/>
        <w:autoSpaceDN/>
        <w:adjustRightInd/>
        <w:snapToGrid/>
        <w:spacing w:line="324" w:lineRule="auto"/>
        <w:ind w:left="0" w:firstLine="640" w:firstLineChars="200"/>
        <w:textAlignment w:val="auto"/>
        <w:rPr>
          <w:rFonts w:hint="eastAsia" w:ascii="Times New Roman" w:hAnsi="Times New Roman" w:eastAsia="仿宋" w:cs="Times New Roman"/>
          <w:color w:val="auto"/>
          <w:sz w:val="32"/>
          <w:szCs w:val="32"/>
          <w:highlight w:val="none"/>
          <w:u w:val="none"/>
          <w:lang w:eastAsia="zh-CN"/>
        </w:rPr>
      </w:pPr>
      <w:r>
        <w:rPr>
          <w:rFonts w:hint="eastAsia" w:ascii="Times New Roman" w:hAnsi="Times New Roman" w:eastAsia="仿宋" w:cs="Times New Roman"/>
          <w:color w:val="auto"/>
          <w:sz w:val="32"/>
          <w:szCs w:val="32"/>
          <w:highlight w:val="none"/>
          <w:u w:val="none"/>
          <w:lang w:eastAsia="zh-CN"/>
        </w:rPr>
        <w:t>未进入评标阶段：以招标控制价（最高投标限价）为基数，按原合同计费的30%计取</w:t>
      </w:r>
      <w:r>
        <w:rPr>
          <w:rFonts w:hint="eastAsia" w:ascii="Times New Roman" w:hAnsi="Times New Roman" w:eastAsia="仿宋" w:cs="Times New Roman"/>
          <w:color w:val="auto"/>
          <w:sz w:val="32"/>
          <w:szCs w:val="32"/>
          <w:highlight w:val="none"/>
          <w:u w:val="none"/>
          <w:lang w:val="en-US" w:eastAsia="zh-CN"/>
        </w:rPr>
        <w:t>服务费</w:t>
      </w:r>
      <w:r>
        <w:rPr>
          <w:rFonts w:hint="eastAsia" w:ascii="Times New Roman" w:hAnsi="Times New Roman" w:eastAsia="仿宋" w:cs="Times New Roman"/>
          <w:color w:val="auto"/>
          <w:sz w:val="32"/>
          <w:szCs w:val="32"/>
          <w:highlight w:val="none"/>
          <w:u w:val="none"/>
          <w:lang w:eastAsia="zh-CN"/>
        </w:rPr>
        <w:t>，重新招标仍未进入评标阶段的，</w:t>
      </w:r>
      <w:r>
        <w:rPr>
          <w:rFonts w:hint="eastAsia" w:ascii="Times New Roman" w:hAnsi="Times New Roman" w:eastAsia="仿宋" w:cs="Times New Roman"/>
          <w:color w:val="auto"/>
          <w:sz w:val="32"/>
          <w:szCs w:val="32"/>
          <w:highlight w:val="none"/>
          <w:u w:val="none"/>
          <w:lang w:val="en-US" w:eastAsia="zh-CN"/>
        </w:rPr>
        <w:t>不再重复计取</w:t>
      </w:r>
      <w:r>
        <w:rPr>
          <w:rFonts w:hint="eastAsia" w:ascii="Times New Roman" w:hAnsi="Times New Roman" w:eastAsia="仿宋" w:cs="Times New Roman"/>
          <w:color w:val="auto"/>
          <w:sz w:val="32"/>
          <w:szCs w:val="32"/>
          <w:highlight w:val="none"/>
          <w:u w:val="none"/>
          <w:lang w:eastAsia="zh-CN"/>
        </w:rPr>
        <w:t>；</w:t>
      </w:r>
    </w:p>
    <w:p w14:paraId="4CB85733">
      <w:pPr>
        <w:numPr>
          <w:ilvl w:val="0"/>
          <w:numId w:val="4"/>
        </w:numPr>
        <w:kinsoku/>
        <w:autoSpaceDE/>
        <w:autoSpaceDN/>
        <w:adjustRightInd/>
        <w:snapToGrid/>
        <w:spacing w:line="324" w:lineRule="auto"/>
        <w:ind w:left="0" w:firstLine="640" w:firstLineChars="200"/>
        <w:textAlignment w:val="auto"/>
        <w:rPr>
          <w:rFonts w:hint="eastAsia" w:ascii="Times New Roman" w:hAnsi="Times New Roman" w:eastAsia="仿宋" w:cs="Times New Roman"/>
          <w:color w:val="auto"/>
          <w:sz w:val="32"/>
          <w:szCs w:val="32"/>
          <w:highlight w:val="none"/>
          <w:u w:val="none"/>
          <w:lang w:eastAsia="zh-CN"/>
        </w:rPr>
      </w:pPr>
      <w:r>
        <w:rPr>
          <w:rFonts w:hint="eastAsia" w:ascii="Times New Roman" w:hAnsi="Times New Roman" w:eastAsia="仿宋" w:cs="Times New Roman"/>
          <w:color w:val="auto"/>
          <w:sz w:val="32"/>
          <w:szCs w:val="32"/>
          <w:highlight w:val="none"/>
          <w:u w:val="none"/>
          <w:lang w:eastAsia="zh-CN"/>
        </w:rPr>
        <w:t>已进入评标阶段：以招标控制价（最高投标限价）为基数，按原合同计费的50%计取</w:t>
      </w:r>
      <w:r>
        <w:rPr>
          <w:rFonts w:hint="eastAsia" w:ascii="Times New Roman" w:hAnsi="Times New Roman" w:eastAsia="仿宋" w:cs="Times New Roman"/>
          <w:color w:val="auto"/>
          <w:sz w:val="32"/>
          <w:szCs w:val="32"/>
          <w:highlight w:val="none"/>
          <w:u w:val="none"/>
          <w:lang w:val="en-US" w:eastAsia="zh-CN"/>
        </w:rPr>
        <w:t>服务费</w:t>
      </w:r>
      <w:r>
        <w:rPr>
          <w:rFonts w:hint="eastAsia" w:ascii="Times New Roman" w:hAnsi="Times New Roman" w:eastAsia="仿宋" w:cs="Times New Roman"/>
          <w:color w:val="auto"/>
          <w:sz w:val="32"/>
          <w:szCs w:val="32"/>
          <w:highlight w:val="none"/>
          <w:u w:val="none"/>
          <w:lang w:eastAsia="zh-CN"/>
        </w:rPr>
        <w:t>。</w:t>
      </w:r>
    </w:p>
    <w:bookmarkEnd w:id="5"/>
    <w:p w14:paraId="63D994EF">
      <w:pPr>
        <w:kinsoku/>
        <w:spacing w:before="234" w:line="324" w:lineRule="auto"/>
        <w:jc w:val="center"/>
        <w:rPr>
          <w:rFonts w:hint="eastAsia" w:ascii="Times New Roman" w:hAnsi="Times New Roman" w:eastAsia="黑体" w:cs="Times New Roman"/>
          <w:color w:val="auto"/>
          <w:sz w:val="32"/>
          <w:szCs w:val="32"/>
          <w:highlight w:val="none"/>
          <w:lang w:eastAsia="zh-CN"/>
        </w:rPr>
      </w:pPr>
      <w:r>
        <w:rPr>
          <w:rFonts w:hint="eastAsia" w:ascii="Times New Roman" w:hAnsi="Times New Roman" w:eastAsia="黑体" w:cs="Times New Roman"/>
          <w:color w:val="auto"/>
          <w:sz w:val="32"/>
          <w:szCs w:val="32"/>
          <w:highlight w:val="none"/>
          <w:lang w:eastAsia="zh-CN"/>
        </w:rPr>
        <w:t>第五章　行业自律与监督管理</w:t>
      </w:r>
    </w:p>
    <w:p w14:paraId="54D5AF40">
      <w:pPr>
        <w:pStyle w:val="2"/>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Lines="50" w:beforeAutospacing="0" w:after="0" w:afterAutospacing="0" w:line="324" w:lineRule="auto"/>
        <w:ind w:right="0" w:rightChars="0" w:firstLine="643" w:firstLineChars="200"/>
        <w:textAlignment w:val="auto"/>
        <w:outlineLvl w:val="2"/>
        <w:rPr>
          <w:rFonts w:hint="eastAsia" w:ascii="仿宋" w:hAnsi="仿宋" w:eastAsia="仿宋" w:cs="仿宋"/>
          <w:b w:val="0"/>
          <w:bCs w:val="0"/>
          <w:snapToGrid w:val="0"/>
          <w:color w:val="auto"/>
          <w:spacing w:val="0"/>
          <w:kern w:val="0"/>
          <w:sz w:val="32"/>
          <w:szCs w:val="32"/>
          <w:highlight w:val="none"/>
          <w:lang w:val="en-US" w:eastAsia="en-US" w:bidi="ar-SA"/>
        </w:rPr>
      </w:pPr>
      <w:r>
        <w:rPr>
          <w:rFonts w:ascii="Times New Roman" w:hAnsi="Times New Roman" w:eastAsia="仿宋" w:cs="Times New Roman"/>
          <w:b/>
          <w:bCs/>
          <w:color w:val="auto"/>
          <w:sz w:val="32"/>
          <w:szCs w:val="32"/>
          <w:highlight w:val="none"/>
          <w:u w:val="none"/>
          <w:lang w:eastAsia="zh-CN"/>
        </w:rPr>
        <w:t>第</w:t>
      </w:r>
      <w:r>
        <w:rPr>
          <w:rFonts w:hint="eastAsia" w:ascii="Times New Roman" w:hAnsi="Times New Roman" w:eastAsia="仿宋" w:cs="Times New Roman"/>
          <w:b/>
          <w:bCs/>
          <w:color w:val="auto"/>
          <w:sz w:val="32"/>
          <w:szCs w:val="32"/>
          <w:highlight w:val="none"/>
          <w:u w:val="none"/>
          <w:lang w:val="en-US" w:eastAsia="zh-CN"/>
        </w:rPr>
        <w:t>十五</w:t>
      </w:r>
      <w:r>
        <w:rPr>
          <w:rFonts w:ascii="Times New Roman" w:hAnsi="Times New Roman" w:eastAsia="仿宋" w:cs="Times New Roman"/>
          <w:b/>
          <w:bCs/>
          <w:color w:val="auto"/>
          <w:sz w:val="32"/>
          <w:szCs w:val="32"/>
          <w:highlight w:val="none"/>
          <w:u w:val="none"/>
          <w:lang w:eastAsia="zh-CN"/>
        </w:rPr>
        <w:t>条</w:t>
      </w:r>
      <w:r>
        <w:rPr>
          <w:rFonts w:ascii="Times New Roman" w:hAnsi="Times New Roman" w:eastAsia="仿宋" w:cs="Times New Roman"/>
          <w:color w:val="auto"/>
          <w:sz w:val="32"/>
          <w:szCs w:val="32"/>
          <w:highlight w:val="none"/>
          <w:u w:val="none"/>
          <w:lang w:eastAsia="zh-CN"/>
        </w:rPr>
        <w:t>　</w:t>
      </w:r>
      <w:r>
        <w:rPr>
          <w:rFonts w:hint="eastAsia" w:ascii="Times New Roman" w:hAnsi="Times New Roman" w:eastAsia="仿宋"/>
          <w:b w:val="0"/>
          <w:bCs w:val="0"/>
          <w:color w:val="auto"/>
          <w:sz w:val="32"/>
          <w:szCs w:val="32"/>
          <w:highlight w:val="none"/>
          <w:u w:val="none"/>
        </w:rPr>
        <w:t>协会</w:t>
      </w:r>
      <w:r>
        <w:rPr>
          <w:rFonts w:hint="eastAsia" w:ascii="Times New Roman" w:hAnsi="Times New Roman" w:eastAsia="仿宋"/>
          <w:b w:val="0"/>
          <w:bCs w:val="0"/>
          <w:color w:val="auto"/>
          <w:sz w:val="32"/>
          <w:szCs w:val="32"/>
          <w:highlight w:val="none"/>
          <w:u w:val="none"/>
          <w:lang w:val="en-US" w:eastAsia="zh-CN"/>
        </w:rPr>
        <w:t>根据行业自律，设立投诉渠道，对于以</w:t>
      </w:r>
      <w:r>
        <w:rPr>
          <w:rFonts w:hint="eastAsia" w:ascii="仿宋" w:hAnsi="仿宋" w:eastAsia="仿宋" w:cs="仿宋"/>
          <w:b w:val="0"/>
          <w:bCs w:val="0"/>
          <w:snapToGrid w:val="0"/>
          <w:color w:val="auto"/>
          <w:sz w:val="32"/>
          <w:szCs w:val="32"/>
          <w:highlight w:val="none"/>
        </w:rPr>
        <w:t>执业合规性、收费规范性、服务完整性、合同履约成效</w:t>
      </w:r>
      <w:r>
        <w:rPr>
          <w:rFonts w:hint="eastAsia" w:ascii="仿宋" w:hAnsi="仿宋" w:eastAsia="仿宋" w:cs="仿宋"/>
          <w:b w:val="0"/>
          <w:bCs w:val="0"/>
          <w:snapToGrid w:val="0"/>
          <w:color w:val="auto"/>
          <w:sz w:val="32"/>
          <w:szCs w:val="32"/>
          <w:highlight w:val="none"/>
          <w:lang w:val="en-US" w:eastAsia="zh-CN"/>
        </w:rPr>
        <w:t>及投诉处理情况为</w:t>
      </w:r>
      <w:r>
        <w:rPr>
          <w:rFonts w:hint="eastAsia" w:ascii="仿宋" w:hAnsi="仿宋" w:eastAsia="仿宋" w:cs="仿宋"/>
          <w:b w:val="0"/>
          <w:bCs w:val="0"/>
          <w:snapToGrid w:val="0"/>
          <w:color w:val="auto"/>
          <w:sz w:val="32"/>
          <w:szCs w:val="32"/>
          <w:highlight w:val="none"/>
        </w:rPr>
        <w:t>核心</w:t>
      </w:r>
      <w:r>
        <w:rPr>
          <w:rFonts w:hint="eastAsia" w:ascii="仿宋" w:hAnsi="仿宋" w:eastAsia="仿宋" w:cs="仿宋"/>
          <w:b w:val="0"/>
          <w:bCs w:val="0"/>
          <w:snapToGrid w:val="0"/>
          <w:color w:val="auto"/>
          <w:sz w:val="32"/>
          <w:szCs w:val="32"/>
          <w:highlight w:val="none"/>
          <w:lang w:val="en-US" w:eastAsia="zh-CN"/>
        </w:rPr>
        <w:t>的</w:t>
      </w:r>
      <w:r>
        <w:rPr>
          <w:rFonts w:hint="eastAsia" w:ascii="仿宋" w:hAnsi="仿宋" w:eastAsia="仿宋" w:cs="仿宋"/>
          <w:b w:val="0"/>
          <w:bCs w:val="0"/>
          <w:snapToGrid w:val="0"/>
          <w:color w:val="auto"/>
          <w:sz w:val="32"/>
          <w:szCs w:val="32"/>
          <w:highlight w:val="none"/>
        </w:rPr>
        <w:t>信用</w:t>
      </w:r>
      <w:r>
        <w:rPr>
          <w:rFonts w:hint="eastAsia" w:ascii="仿宋" w:hAnsi="仿宋" w:eastAsia="仿宋" w:cs="仿宋"/>
          <w:b w:val="0"/>
          <w:bCs w:val="0"/>
          <w:snapToGrid w:val="0"/>
          <w:color w:val="auto"/>
          <w:sz w:val="32"/>
          <w:szCs w:val="32"/>
          <w:highlight w:val="none"/>
          <w:lang w:val="en-US" w:eastAsia="zh-CN"/>
        </w:rPr>
        <w:t>记录机制</w:t>
      </w:r>
      <w:r>
        <w:rPr>
          <w:rFonts w:hint="eastAsia" w:ascii="仿宋" w:hAnsi="仿宋" w:eastAsia="仿宋" w:cs="仿宋"/>
          <w:b w:val="0"/>
          <w:bCs w:val="0"/>
          <w:snapToGrid w:val="0"/>
          <w:color w:val="auto"/>
          <w:sz w:val="32"/>
          <w:szCs w:val="32"/>
          <w:highlight w:val="none"/>
        </w:rPr>
        <w:t>，</w:t>
      </w:r>
      <w:r>
        <w:rPr>
          <w:rFonts w:hint="eastAsia" w:ascii="仿宋" w:hAnsi="仿宋" w:eastAsia="仿宋" w:cs="仿宋"/>
          <w:b w:val="0"/>
          <w:bCs w:val="0"/>
          <w:snapToGrid w:val="0"/>
          <w:color w:val="auto"/>
          <w:sz w:val="32"/>
          <w:szCs w:val="32"/>
          <w:highlight w:val="none"/>
          <w:lang w:val="en-US" w:eastAsia="zh-CN"/>
        </w:rPr>
        <w:t>实行</w:t>
      </w:r>
      <w:r>
        <w:rPr>
          <w:rFonts w:hint="eastAsia" w:ascii="仿宋" w:hAnsi="仿宋" w:eastAsia="仿宋" w:cs="仿宋"/>
          <w:b w:val="0"/>
          <w:bCs w:val="0"/>
          <w:snapToGrid w:val="0"/>
          <w:color w:val="auto"/>
          <w:sz w:val="32"/>
          <w:szCs w:val="32"/>
          <w:highlight w:val="none"/>
        </w:rPr>
        <w:t>量化评分</w:t>
      </w:r>
      <w:r>
        <w:rPr>
          <w:rFonts w:hint="eastAsia" w:ascii="仿宋" w:hAnsi="仿宋" w:eastAsia="仿宋" w:cs="仿宋"/>
          <w:b w:val="0"/>
          <w:bCs w:val="0"/>
          <w:snapToGrid w:val="0"/>
          <w:color w:val="auto"/>
          <w:sz w:val="32"/>
          <w:szCs w:val="32"/>
          <w:highlight w:val="none"/>
          <w:lang w:eastAsia="zh-CN"/>
        </w:rPr>
        <w:t>、</w:t>
      </w:r>
      <w:r>
        <w:rPr>
          <w:rFonts w:hint="eastAsia" w:ascii="仿宋" w:hAnsi="仿宋" w:eastAsia="仿宋" w:cs="仿宋"/>
          <w:b w:val="0"/>
          <w:bCs w:val="0"/>
          <w:snapToGrid w:val="0"/>
          <w:color w:val="auto"/>
          <w:sz w:val="32"/>
          <w:szCs w:val="32"/>
          <w:highlight w:val="none"/>
          <w:lang w:val="en-US" w:eastAsia="zh-CN"/>
        </w:rPr>
        <w:t>分级分类的动态信用管理模式，结合会员单位经营行为、服务质量、合规情况开展综合评价，评价</w:t>
      </w:r>
      <w:r>
        <w:rPr>
          <w:rFonts w:hint="eastAsia" w:ascii="仿宋" w:hAnsi="仿宋" w:eastAsia="仿宋" w:cs="仿宋"/>
          <w:b w:val="0"/>
          <w:bCs w:val="0"/>
          <w:snapToGrid w:val="0"/>
          <w:color w:val="auto"/>
          <w:sz w:val="32"/>
          <w:szCs w:val="32"/>
          <w:highlight w:val="none"/>
        </w:rPr>
        <w:t>结果向社会公开</w:t>
      </w:r>
      <w:r>
        <w:rPr>
          <w:rFonts w:hint="eastAsia" w:ascii="仿宋" w:hAnsi="仿宋" w:eastAsia="仿宋" w:cs="仿宋"/>
          <w:b w:val="0"/>
          <w:bCs w:val="0"/>
          <w:snapToGrid w:val="0"/>
          <w:color w:val="auto"/>
          <w:sz w:val="32"/>
          <w:szCs w:val="32"/>
          <w:highlight w:val="none"/>
          <w:lang w:eastAsia="zh-CN"/>
        </w:rPr>
        <w:t>。</w:t>
      </w:r>
    </w:p>
    <w:p w14:paraId="5240F0E5">
      <w:pPr>
        <w:pStyle w:val="4"/>
        <w:spacing w:before="120" w:beforeLines="50" w:line="324" w:lineRule="auto"/>
        <w:ind w:firstLine="643" w:firstLineChars="200"/>
        <w:jc w:val="both"/>
        <w:rPr>
          <w:rFonts w:hint="eastAsia" w:ascii="Times New Roman" w:hAnsi="Times New Roman" w:eastAsia="仿宋" w:cs="Times New Roman"/>
          <w:color w:val="auto"/>
          <w:sz w:val="32"/>
          <w:szCs w:val="32"/>
          <w:highlight w:val="none"/>
          <w:lang w:eastAsia="zh-CN"/>
        </w:rPr>
      </w:pPr>
      <w:r>
        <w:rPr>
          <w:rFonts w:hint="eastAsia" w:ascii="Times New Roman" w:hAnsi="Times New Roman" w:eastAsia="仿宋" w:cs="Times New Roman"/>
          <w:b/>
          <w:bCs/>
          <w:color w:val="auto"/>
          <w:sz w:val="32"/>
          <w:szCs w:val="32"/>
          <w:highlight w:val="none"/>
          <w:u w:val="none"/>
          <w:lang w:eastAsia="zh-CN"/>
        </w:rPr>
        <w:t>第</w:t>
      </w:r>
      <w:r>
        <w:rPr>
          <w:rFonts w:hint="eastAsia" w:ascii="Times New Roman" w:hAnsi="Times New Roman" w:eastAsia="仿宋" w:cs="Times New Roman"/>
          <w:b/>
          <w:bCs/>
          <w:color w:val="auto"/>
          <w:sz w:val="32"/>
          <w:szCs w:val="32"/>
          <w:highlight w:val="none"/>
          <w:u w:val="none"/>
          <w:lang w:val="en-US" w:eastAsia="zh-CN"/>
        </w:rPr>
        <w:t>十六</w:t>
      </w:r>
      <w:r>
        <w:rPr>
          <w:rFonts w:hint="eastAsia" w:ascii="Times New Roman" w:hAnsi="Times New Roman" w:eastAsia="仿宋" w:cs="Times New Roman"/>
          <w:b/>
          <w:bCs/>
          <w:color w:val="auto"/>
          <w:sz w:val="32"/>
          <w:szCs w:val="32"/>
          <w:highlight w:val="none"/>
          <w:u w:val="none"/>
          <w:lang w:eastAsia="zh-CN"/>
        </w:rPr>
        <w:t>条</w:t>
      </w:r>
      <w:r>
        <w:rPr>
          <w:rFonts w:hint="eastAsia" w:ascii="Times New Roman" w:hAnsi="Times New Roman" w:eastAsia="仿宋" w:cs="Times New Roman"/>
          <w:color w:val="auto"/>
          <w:sz w:val="32"/>
          <w:szCs w:val="32"/>
          <w:highlight w:val="none"/>
          <w:u w:val="none"/>
          <w:lang w:eastAsia="zh-CN"/>
        </w:rPr>
        <w:t>　</w:t>
      </w:r>
      <w:r>
        <w:rPr>
          <w:rFonts w:hint="eastAsia" w:ascii="Times New Roman" w:hAnsi="Times New Roman" w:eastAsia="仿宋" w:cs="Times New Roman"/>
          <w:color w:val="auto"/>
          <w:sz w:val="32"/>
          <w:szCs w:val="32"/>
          <w:highlight w:val="none"/>
          <w:lang w:eastAsia="zh-CN"/>
        </w:rPr>
        <w:t>协会鼓励会员单位诚信经营，遵循公平合法原则定价，不得采用低于成本的报价参与竞争。对</w:t>
      </w:r>
      <w:r>
        <w:rPr>
          <w:rFonts w:hint="eastAsia" w:ascii="Times New Roman" w:hAnsi="Times New Roman" w:eastAsia="仿宋" w:cs="Times New Roman"/>
          <w:color w:val="auto"/>
          <w:sz w:val="32"/>
          <w:szCs w:val="32"/>
          <w:highlight w:val="none"/>
          <w:lang w:val="en-US" w:eastAsia="zh-CN"/>
        </w:rPr>
        <w:t>于</w:t>
      </w:r>
      <w:r>
        <w:rPr>
          <w:rFonts w:hint="eastAsia" w:ascii="Times New Roman" w:hAnsi="Times New Roman" w:eastAsia="仿宋" w:cs="Times New Roman"/>
          <w:color w:val="auto"/>
          <w:sz w:val="32"/>
          <w:szCs w:val="32"/>
          <w:highlight w:val="none"/>
          <w:lang w:eastAsia="zh-CN"/>
        </w:rPr>
        <w:t>存在恶意低价、巧立名目乱收费、服务质量与收费严重不符等行为，协会可</w:t>
      </w:r>
      <w:r>
        <w:rPr>
          <w:rFonts w:hint="eastAsia" w:ascii="Times New Roman" w:hAnsi="Times New Roman" w:eastAsia="仿宋" w:cs="Times New Roman"/>
          <w:color w:val="auto"/>
          <w:sz w:val="32"/>
          <w:szCs w:val="32"/>
          <w:highlight w:val="none"/>
          <w:lang w:val="en-US" w:eastAsia="zh-CN"/>
        </w:rPr>
        <w:t>依据行业自律规则对会员单位采取相应的自律措施</w:t>
      </w:r>
      <w:r>
        <w:rPr>
          <w:rFonts w:hint="eastAsia" w:ascii="Times New Roman" w:hAnsi="Times New Roman" w:eastAsia="仿宋" w:cs="Times New Roman"/>
          <w:color w:val="auto"/>
          <w:sz w:val="32"/>
          <w:szCs w:val="32"/>
          <w:highlight w:val="none"/>
          <w:lang w:eastAsia="zh-CN"/>
        </w:rPr>
        <w:t>。</w:t>
      </w:r>
    </w:p>
    <w:p w14:paraId="7F76FD0B">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120" w:beforeLines="50" w:beforeAutospacing="0" w:after="0" w:afterAutospacing="0" w:line="324" w:lineRule="auto"/>
        <w:ind w:right="0" w:rightChars="0" w:firstLine="643" w:firstLineChars="200"/>
        <w:jc w:val="both"/>
        <w:textAlignment w:val="auto"/>
        <w:outlineLvl w:val="2"/>
        <w:rPr>
          <w:rFonts w:hint="eastAsia" w:ascii="Times New Roman" w:hAnsi="Times New Roman" w:eastAsia="仿宋" w:cs="Times New Roman"/>
          <w:color w:val="auto"/>
          <w:sz w:val="32"/>
          <w:szCs w:val="32"/>
          <w:highlight w:val="none"/>
          <w:lang w:eastAsia="zh-CN"/>
        </w:rPr>
      </w:pPr>
      <w:r>
        <w:rPr>
          <w:rFonts w:hint="eastAsia" w:ascii="Times New Roman" w:hAnsi="Times New Roman" w:eastAsia="仿宋" w:cs="Times New Roman"/>
          <w:b/>
          <w:bCs/>
          <w:color w:val="auto"/>
          <w:sz w:val="32"/>
          <w:szCs w:val="32"/>
          <w:highlight w:val="none"/>
          <w:u w:val="none"/>
          <w:lang w:eastAsia="zh-CN"/>
        </w:rPr>
        <w:t>第</w:t>
      </w:r>
      <w:r>
        <w:rPr>
          <w:rFonts w:hint="eastAsia" w:ascii="Times New Roman" w:hAnsi="Times New Roman" w:eastAsia="仿宋" w:cs="Times New Roman"/>
          <w:b/>
          <w:bCs/>
          <w:color w:val="auto"/>
          <w:sz w:val="32"/>
          <w:szCs w:val="32"/>
          <w:highlight w:val="none"/>
          <w:u w:val="none"/>
          <w:lang w:val="en-US" w:eastAsia="zh-CN"/>
        </w:rPr>
        <w:t>十七</w:t>
      </w:r>
      <w:r>
        <w:rPr>
          <w:rFonts w:hint="eastAsia" w:ascii="Times New Roman" w:hAnsi="Times New Roman" w:eastAsia="仿宋" w:cs="Times New Roman"/>
          <w:b/>
          <w:bCs/>
          <w:color w:val="auto"/>
          <w:sz w:val="32"/>
          <w:szCs w:val="32"/>
          <w:highlight w:val="none"/>
          <w:u w:val="none"/>
          <w:lang w:eastAsia="zh-CN"/>
        </w:rPr>
        <w:t>条</w:t>
      </w:r>
      <w:r>
        <w:rPr>
          <w:rFonts w:hint="eastAsia" w:ascii="Times New Roman" w:hAnsi="Times New Roman" w:eastAsia="仿宋" w:cs="Times New Roman"/>
          <w:color w:val="auto"/>
          <w:sz w:val="32"/>
          <w:szCs w:val="32"/>
          <w:highlight w:val="none"/>
          <w:u w:val="none"/>
          <w:lang w:eastAsia="zh-CN"/>
        </w:rPr>
        <w:t>　</w:t>
      </w:r>
      <w:r>
        <w:rPr>
          <w:rFonts w:hint="eastAsia" w:ascii="Times New Roman" w:hAnsi="Times New Roman" w:eastAsia="仿宋" w:cs="Times New Roman"/>
          <w:color w:val="auto"/>
          <w:sz w:val="32"/>
          <w:szCs w:val="32"/>
          <w:highlight w:val="none"/>
          <w:lang w:eastAsia="zh-CN"/>
        </w:rPr>
        <w:t>因服务收费发生争议，双方可自愿向协会申请调解。协会秉承公平、公正、保密原则促进争议化解。调解协议依赖于当事人自愿履行。</w:t>
      </w:r>
    </w:p>
    <w:p w14:paraId="26AB828B">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120" w:beforeLines="50" w:beforeAutospacing="0" w:after="0" w:afterAutospacing="0" w:line="324" w:lineRule="auto"/>
        <w:ind w:right="0" w:rightChars="0" w:firstLine="643" w:firstLineChars="200"/>
        <w:jc w:val="both"/>
        <w:textAlignment w:val="auto"/>
        <w:outlineLvl w:val="2"/>
        <w:rPr>
          <w:rFonts w:hint="eastAsia" w:ascii="Times New Roman" w:hAnsi="Times New Roman" w:eastAsia="仿宋" w:cs="Times New Roman"/>
          <w:b w:val="0"/>
          <w:bCs w:val="0"/>
          <w:color w:val="auto"/>
          <w:sz w:val="32"/>
          <w:szCs w:val="32"/>
          <w:highlight w:val="none"/>
          <w:u w:val="none"/>
          <w:lang w:val="en-US" w:eastAsia="zh-CN"/>
        </w:rPr>
      </w:pPr>
      <w:r>
        <w:rPr>
          <w:rFonts w:hint="eastAsia" w:ascii="Times New Roman" w:hAnsi="Times New Roman" w:eastAsia="仿宋" w:cs="Times New Roman"/>
          <w:b/>
          <w:bCs/>
          <w:color w:val="auto"/>
          <w:sz w:val="32"/>
          <w:szCs w:val="32"/>
          <w:highlight w:val="none"/>
          <w:u w:val="none"/>
          <w:lang w:eastAsia="zh-CN"/>
        </w:rPr>
        <w:t>第</w:t>
      </w:r>
      <w:r>
        <w:rPr>
          <w:rFonts w:hint="eastAsia" w:ascii="Times New Roman" w:hAnsi="Times New Roman" w:eastAsia="仿宋" w:cs="Times New Roman"/>
          <w:b/>
          <w:bCs/>
          <w:color w:val="auto"/>
          <w:sz w:val="32"/>
          <w:szCs w:val="32"/>
          <w:highlight w:val="none"/>
          <w:u w:val="none"/>
          <w:lang w:val="en-US" w:eastAsia="zh-CN"/>
        </w:rPr>
        <w:t>十八</w:t>
      </w:r>
      <w:r>
        <w:rPr>
          <w:rFonts w:hint="eastAsia" w:ascii="Times New Roman" w:hAnsi="Times New Roman" w:eastAsia="仿宋" w:cs="Times New Roman"/>
          <w:b/>
          <w:bCs/>
          <w:color w:val="auto"/>
          <w:sz w:val="32"/>
          <w:szCs w:val="32"/>
          <w:highlight w:val="none"/>
          <w:u w:val="none"/>
          <w:lang w:eastAsia="zh-CN"/>
        </w:rPr>
        <w:t>条</w:t>
      </w:r>
      <w:r>
        <w:rPr>
          <w:rFonts w:hint="eastAsia" w:ascii="Times New Roman" w:hAnsi="Times New Roman" w:eastAsia="仿宋" w:cs="Times New Roman"/>
          <w:b w:val="0"/>
          <w:bCs w:val="0"/>
          <w:color w:val="auto"/>
          <w:sz w:val="32"/>
          <w:szCs w:val="32"/>
          <w:highlight w:val="none"/>
          <w:u w:val="none"/>
          <w:lang w:eastAsia="zh-CN"/>
        </w:rPr>
        <w:t>　</w:t>
      </w:r>
      <w:r>
        <w:rPr>
          <w:rFonts w:hint="eastAsia" w:ascii="Times New Roman" w:hAnsi="Times New Roman" w:eastAsia="仿宋" w:cs="Times New Roman"/>
          <w:b w:val="0"/>
          <w:bCs w:val="0"/>
          <w:i w:val="0"/>
          <w:iCs w:val="0"/>
          <w:caps w:val="0"/>
          <w:color w:val="auto"/>
          <w:spacing w:val="0"/>
          <w:sz w:val="32"/>
          <w:szCs w:val="32"/>
          <w:highlight w:val="none"/>
          <w:u w:val="none"/>
          <w:shd w:val="clear" w:fill="auto"/>
        </w:rPr>
        <w:t>协会积极推动与</w:t>
      </w:r>
      <w:r>
        <w:rPr>
          <w:rFonts w:hint="eastAsia" w:ascii="Times New Roman" w:hAnsi="Times New Roman" w:eastAsia="仿宋" w:cs="Times New Roman"/>
          <w:b w:val="0"/>
          <w:bCs w:val="0"/>
          <w:i w:val="0"/>
          <w:iCs w:val="0"/>
          <w:caps w:val="0"/>
          <w:color w:val="auto"/>
          <w:spacing w:val="0"/>
          <w:sz w:val="32"/>
          <w:szCs w:val="32"/>
          <w:highlight w:val="none"/>
          <w:u w:val="none"/>
          <w:shd w:val="clear" w:fill="auto"/>
          <w:lang w:val="en-US" w:eastAsia="zh-CN"/>
        </w:rPr>
        <w:t>行业管理</w:t>
      </w:r>
      <w:r>
        <w:rPr>
          <w:rFonts w:hint="eastAsia" w:ascii="Times New Roman" w:hAnsi="Times New Roman" w:eastAsia="仿宋" w:cs="Times New Roman"/>
          <w:b w:val="0"/>
          <w:bCs w:val="0"/>
          <w:i w:val="0"/>
          <w:iCs w:val="0"/>
          <w:caps w:val="0"/>
          <w:color w:val="auto"/>
          <w:spacing w:val="0"/>
          <w:sz w:val="32"/>
          <w:szCs w:val="32"/>
          <w:highlight w:val="none"/>
          <w:u w:val="none"/>
          <w:shd w:val="clear" w:fill="auto"/>
        </w:rPr>
        <w:t>部门建立信息共享、联合检查、线索移送等协同监管机制，共享信用信息、收费合规及投诉处理情况</w:t>
      </w:r>
      <w:r>
        <w:rPr>
          <w:rFonts w:hint="eastAsia" w:ascii="Times New Roman" w:hAnsi="Times New Roman" w:eastAsia="仿宋" w:cs="Times New Roman"/>
          <w:b w:val="0"/>
          <w:bCs w:val="0"/>
          <w:color w:val="auto"/>
          <w:sz w:val="32"/>
          <w:szCs w:val="32"/>
          <w:highlight w:val="none"/>
          <w:u w:val="none"/>
          <w:lang w:val="en-US" w:eastAsia="zh-CN"/>
        </w:rPr>
        <w:t>。</w:t>
      </w:r>
    </w:p>
    <w:p w14:paraId="634FD881">
      <w:pPr>
        <w:kinsoku/>
        <w:spacing w:before="234" w:line="324" w:lineRule="auto"/>
        <w:jc w:val="center"/>
        <w:rPr>
          <w:rFonts w:hint="eastAsia" w:ascii="Times New Roman" w:hAnsi="Times New Roman" w:eastAsia="黑体" w:cs="Times New Roman"/>
          <w:color w:val="auto"/>
          <w:sz w:val="32"/>
          <w:szCs w:val="32"/>
          <w:highlight w:val="none"/>
          <w:lang w:eastAsia="zh-CN"/>
        </w:rPr>
      </w:pPr>
      <w:r>
        <w:rPr>
          <w:rFonts w:hint="eastAsia" w:ascii="Times New Roman" w:hAnsi="Times New Roman" w:eastAsia="黑体" w:cs="Times New Roman"/>
          <w:color w:val="auto"/>
          <w:sz w:val="32"/>
          <w:szCs w:val="32"/>
          <w:highlight w:val="none"/>
          <w:lang w:eastAsia="zh-CN"/>
        </w:rPr>
        <w:t>第六章　附则</w:t>
      </w:r>
    </w:p>
    <w:p w14:paraId="004833B7">
      <w:pPr>
        <w:pStyle w:val="4"/>
        <w:kinsoku/>
        <w:spacing w:before="120" w:beforeLines="50" w:line="324" w:lineRule="auto"/>
        <w:ind w:firstLine="643" w:firstLineChars="200"/>
        <w:jc w:val="both"/>
        <w:rPr>
          <w:rFonts w:hint="eastAsia" w:ascii="Times New Roman" w:hAnsi="Times New Roman" w:eastAsia="仿宋" w:cs="Times New Roman"/>
          <w:color w:val="auto"/>
          <w:sz w:val="32"/>
          <w:szCs w:val="32"/>
          <w:highlight w:val="none"/>
          <w:u w:val="none"/>
          <w:lang w:eastAsia="zh-CN"/>
        </w:rPr>
      </w:pPr>
      <w:r>
        <w:rPr>
          <w:rFonts w:hint="eastAsia" w:ascii="Times New Roman" w:hAnsi="Times New Roman" w:eastAsia="仿宋" w:cs="Times New Roman"/>
          <w:b/>
          <w:bCs/>
          <w:color w:val="auto"/>
          <w:sz w:val="32"/>
          <w:szCs w:val="32"/>
          <w:highlight w:val="none"/>
          <w:u w:val="none"/>
          <w:lang w:eastAsia="zh-CN"/>
        </w:rPr>
        <w:t>第十九条</w:t>
      </w:r>
      <w:r>
        <w:rPr>
          <w:rFonts w:hint="eastAsia" w:ascii="Times New Roman" w:hAnsi="Times New Roman" w:eastAsia="仿宋" w:cs="Times New Roman"/>
          <w:color w:val="auto"/>
          <w:sz w:val="32"/>
          <w:szCs w:val="32"/>
          <w:highlight w:val="none"/>
          <w:u w:val="none"/>
          <w:lang w:eastAsia="zh-CN"/>
        </w:rPr>
        <w:t>　本指引由广东省招标投标协会负责解释，并根据法律、法规、规章、国家及广东省政策的调整情况、市场变化情况适时修订。</w:t>
      </w:r>
    </w:p>
    <w:p w14:paraId="46EBC740">
      <w:pPr>
        <w:pStyle w:val="4"/>
        <w:kinsoku/>
        <w:spacing w:before="120" w:beforeLines="50" w:line="324" w:lineRule="auto"/>
        <w:ind w:firstLine="643" w:firstLineChars="200"/>
        <w:jc w:val="both"/>
        <w:rPr>
          <w:rFonts w:hint="eastAsia" w:ascii="仿宋_GB2312" w:hAnsi="仿宋_GB2312" w:eastAsia="仿宋_GB2312" w:cs="仿宋_GB2312"/>
          <w:b/>
          <w:bCs/>
          <w:color w:val="auto"/>
          <w:sz w:val="32"/>
          <w:szCs w:val="32"/>
          <w:highlight w:val="none"/>
          <w:u w:val="none"/>
          <w:lang w:eastAsia="zh-CN"/>
        </w:rPr>
      </w:pPr>
      <w:r>
        <w:rPr>
          <w:rFonts w:hint="eastAsia" w:ascii="Times New Roman" w:hAnsi="Times New Roman" w:eastAsia="仿宋" w:cs="Times New Roman"/>
          <w:b/>
          <w:bCs/>
          <w:color w:val="auto"/>
          <w:sz w:val="32"/>
          <w:szCs w:val="32"/>
          <w:highlight w:val="none"/>
          <w:u w:val="none"/>
          <w:lang w:eastAsia="zh-CN"/>
        </w:rPr>
        <w:t>第</w:t>
      </w:r>
      <w:r>
        <w:rPr>
          <w:rFonts w:hint="eastAsia" w:ascii="Times New Roman" w:hAnsi="Times New Roman" w:eastAsia="仿宋" w:cs="Times New Roman"/>
          <w:b/>
          <w:bCs/>
          <w:color w:val="auto"/>
          <w:sz w:val="32"/>
          <w:szCs w:val="32"/>
          <w:highlight w:val="none"/>
          <w:u w:val="none"/>
          <w:lang w:val="en-US" w:eastAsia="zh-CN"/>
        </w:rPr>
        <w:t>二</w:t>
      </w:r>
      <w:r>
        <w:rPr>
          <w:rFonts w:hint="eastAsia" w:ascii="Times New Roman" w:hAnsi="Times New Roman" w:eastAsia="仿宋" w:cs="Times New Roman"/>
          <w:b/>
          <w:bCs/>
          <w:color w:val="auto"/>
          <w:sz w:val="32"/>
          <w:szCs w:val="32"/>
          <w:highlight w:val="none"/>
          <w:u w:val="none"/>
          <w:lang w:eastAsia="zh-CN"/>
        </w:rPr>
        <w:t>十条　</w:t>
      </w:r>
      <w:r>
        <w:rPr>
          <w:rFonts w:hint="eastAsia" w:ascii="Times New Roman" w:hAnsi="Times New Roman" w:eastAsia="仿宋" w:cs="Times New Roman"/>
          <w:b w:val="0"/>
          <w:bCs w:val="0"/>
          <w:color w:val="auto"/>
          <w:sz w:val="32"/>
          <w:szCs w:val="32"/>
          <w:highlight w:val="none"/>
          <w:u w:val="none"/>
          <w:lang w:eastAsia="zh-CN"/>
        </w:rPr>
        <w:t>本指引自2026年*月*日起执行。</w:t>
      </w:r>
    </w:p>
    <w:sectPr>
      <w:headerReference r:id="rId3" w:type="default"/>
      <w:footerReference r:id="rId4" w:type="default"/>
      <w:pgSz w:w="11906" w:h="16838"/>
      <w:pgMar w:top="1440" w:right="1701" w:bottom="1440" w:left="1701" w:header="0" w:footer="1134"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8"/>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swiss"/>
    <w:pitch w:val="default"/>
    <w:sig w:usb0="80000287" w:usb1="2ACF3C50" w:usb2="00000016" w:usb3="00000000" w:csb0="0004001F" w:csb1="00000000"/>
  </w:font>
  <w:font w:name="仿宋_GB2312">
    <w:panose1 w:val="02010609030101010101"/>
    <w:charset w:val="86"/>
    <w:family w:val="auto"/>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FangSong_GB2312">
    <w:altName w:val="仿宋_GB2312"/>
    <w:panose1 w:val="00000000000000000000"/>
    <w:charset w:val="86"/>
    <w:family w:val="auto"/>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7A552D">
    <w:pPr>
      <w:spacing w:line="14" w:lineRule="auto"/>
      <w:rPr>
        <w:sz w:val="2"/>
      </w:rPr>
    </w:pPr>
    <w:r>
      <w:rPr>
        <w:sz w:val="2"/>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D865B43">
                          <w:pPr>
                            <w:pStyle w:val="5"/>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cMibgsAgAAV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FwyJuCwCAABVBAAADgAAAAAAAAABACAAAAAfAQAAZHJzL2Uyb0RvYy54bWxQSwUGAAAAAAYA&#10;BgBZAQAAvQUAAAAA&#10;">
              <v:fill on="f" focussize="0,0"/>
              <v:stroke on="f" weight="0.5pt"/>
              <v:imagedata o:title=""/>
              <o:lock v:ext="edit" aspectratio="f"/>
              <v:textbox inset="0mm,0mm,0mm,0mm" style="mso-fit-shape-to-text:t;">
                <w:txbxContent>
                  <w:p w14:paraId="1D865B43">
                    <w:pPr>
                      <w:pStyle w:val="5"/>
                    </w:pPr>
                    <w:r>
                      <w:fldChar w:fldCharType="begin"/>
                    </w:r>
                    <w:r>
                      <w:instrText xml:space="preserve"> PAGE  \* MERGEFORMAT </w:instrText>
                    </w:r>
                    <w:r>
                      <w:fldChar w:fldCharType="separate"/>
                    </w:r>
                    <w:r>
                      <w:t>1</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1007C0">
    <w:pPr>
      <w:spacing w:line="14" w:lineRule="auto"/>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0DFF3FD"/>
    <w:multiLevelType w:val="singleLevel"/>
    <w:tmpl w:val="C0DFF3FD"/>
    <w:lvl w:ilvl="0" w:tentative="0">
      <w:start w:val="2"/>
      <w:numFmt w:val="decimal"/>
      <w:suff w:val="space"/>
      <w:lvlText w:val="%1."/>
      <w:lvlJc w:val="left"/>
    </w:lvl>
  </w:abstractNum>
  <w:abstractNum w:abstractNumId="1">
    <w:nsid w:val="C54FC1F8"/>
    <w:multiLevelType w:val="singleLevel"/>
    <w:tmpl w:val="C54FC1F8"/>
    <w:lvl w:ilvl="0" w:tentative="0">
      <w:start w:val="1"/>
      <w:numFmt w:val="decimal"/>
      <w:lvlText w:val="%1."/>
      <w:lvlJc w:val="left"/>
      <w:pPr>
        <w:ind w:left="425" w:hanging="425"/>
      </w:pPr>
      <w:rPr>
        <w:rFonts w:hint="default"/>
      </w:rPr>
    </w:lvl>
  </w:abstractNum>
  <w:abstractNum w:abstractNumId="2">
    <w:nsid w:val="E2701288"/>
    <w:multiLevelType w:val="singleLevel"/>
    <w:tmpl w:val="E2701288"/>
    <w:lvl w:ilvl="0" w:tentative="0">
      <w:start w:val="1"/>
      <w:numFmt w:val="decimal"/>
      <w:lvlText w:val="%1."/>
      <w:lvlJc w:val="left"/>
      <w:pPr>
        <w:ind w:left="425" w:hanging="425"/>
      </w:pPr>
      <w:rPr>
        <w:rFonts w:hint="default"/>
      </w:rPr>
    </w:lvl>
  </w:abstractNum>
  <w:abstractNum w:abstractNumId="3">
    <w:nsid w:val="3EAFE3A8"/>
    <w:multiLevelType w:val="singleLevel"/>
    <w:tmpl w:val="3EAFE3A8"/>
    <w:lvl w:ilvl="0" w:tentative="0">
      <w:start w:val="1"/>
      <w:numFmt w:val="decimal"/>
      <w:lvlText w:val="%1."/>
      <w:lvlJc w:val="left"/>
      <w:pPr>
        <w:ind w:left="425" w:hanging="425"/>
      </w:pPr>
      <w:rPr>
        <w:rFonts w:hint="default"/>
      </w:r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isplayBackgroundShape w:val="1"/>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spaceForUL/>
    <w:ulTrailSpace/>
    <w:doNotExpandShiftReturn/>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2A27"/>
    <w:rsid w:val="00033DCF"/>
    <w:rsid w:val="00043627"/>
    <w:rsid w:val="00047890"/>
    <w:rsid w:val="00052109"/>
    <w:rsid w:val="000743E6"/>
    <w:rsid w:val="000750E2"/>
    <w:rsid w:val="000B1B6E"/>
    <w:rsid w:val="000C1F7B"/>
    <w:rsid w:val="000C54FF"/>
    <w:rsid w:val="000C698F"/>
    <w:rsid w:val="000F2644"/>
    <w:rsid w:val="000F265F"/>
    <w:rsid w:val="00116212"/>
    <w:rsid w:val="001433D2"/>
    <w:rsid w:val="0014520D"/>
    <w:rsid w:val="00197191"/>
    <w:rsid w:val="001B13C8"/>
    <w:rsid w:val="001F19C5"/>
    <w:rsid w:val="001F6F2E"/>
    <w:rsid w:val="00206DBF"/>
    <w:rsid w:val="002203FE"/>
    <w:rsid w:val="00230919"/>
    <w:rsid w:val="00237181"/>
    <w:rsid w:val="00237C56"/>
    <w:rsid w:val="0024610F"/>
    <w:rsid w:val="002461C9"/>
    <w:rsid w:val="00246721"/>
    <w:rsid w:val="0026544E"/>
    <w:rsid w:val="00304300"/>
    <w:rsid w:val="00330BE0"/>
    <w:rsid w:val="003312CE"/>
    <w:rsid w:val="00331FED"/>
    <w:rsid w:val="00384BC5"/>
    <w:rsid w:val="003A754E"/>
    <w:rsid w:val="003D04C7"/>
    <w:rsid w:val="003D593F"/>
    <w:rsid w:val="00410990"/>
    <w:rsid w:val="00435D54"/>
    <w:rsid w:val="004D2BD9"/>
    <w:rsid w:val="00500321"/>
    <w:rsid w:val="005430B5"/>
    <w:rsid w:val="00563B55"/>
    <w:rsid w:val="005909A3"/>
    <w:rsid w:val="005E7255"/>
    <w:rsid w:val="006173CF"/>
    <w:rsid w:val="0064566F"/>
    <w:rsid w:val="00665F33"/>
    <w:rsid w:val="00714781"/>
    <w:rsid w:val="00754BDD"/>
    <w:rsid w:val="007642A9"/>
    <w:rsid w:val="007677A0"/>
    <w:rsid w:val="00783F02"/>
    <w:rsid w:val="007B1F4E"/>
    <w:rsid w:val="007C6D29"/>
    <w:rsid w:val="007D7D64"/>
    <w:rsid w:val="00807938"/>
    <w:rsid w:val="00817D5B"/>
    <w:rsid w:val="00830392"/>
    <w:rsid w:val="00866A08"/>
    <w:rsid w:val="00872529"/>
    <w:rsid w:val="0088084C"/>
    <w:rsid w:val="0089154F"/>
    <w:rsid w:val="008D3D83"/>
    <w:rsid w:val="00902608"/>
    <w:rsid w:val="00944FFB"/>
    <w:rsid w:val="00984DC1"/>
    <w:rsid w:val="009B7711"/>
    <w:rsid w:val="009E5335"/>
    <w:rsid w:val="00A34D07"/>
    <w:rsid w:val="00A711F9"/>
    <w:rsid w:val="00AB10E0"/>
    <w:rsid w:val="00AC49B3"/>
    <w:rsid w:val="00AD00BD"/>
    <w:rsid w:val="00AD1F30"/>
    <w:rsid w:val="00AE5599"/>
    <w:rsid w:val="00AE73A5"/>
    <w:rsid w:val="00AF1302"/>
    <w:rsid w:val="00B30908"/>
    <w:rsid w:val="00B350B1"/>
    <w:rsid w:val="00B36526"/>
    <w:rsid w:val="00B41DF7"/>
    <w:rsid w:val="00B44164"/>
    <w:rsid w:val="00B517B6"/>
    <w:rsid w:val="00B535A8"/>
    <w:rsid w:val="00B662A7"/>
    <w:rsid w:val="00B66C92"/>
    <w:rsid w:val="00B77EB1"/>
    <w:rsid w:val="00BA0CB2"/>
    <w:rsid w:val="00C24576"/>
    <w:rsid w:val="00C2582D"/>
    <w:rsid w:val="00C25EF4"/>
    <w:rsid w:val="00C33082"/>
    <w:rsid w:val="00C8637C"/>
    <w:rsid w:val="00CC5E77"/>
    <w:rsid w:val="00CC775B"/>
    <w:rsid w:val="00CE6B55"/>
    <w:rsid w:val="00CF224F"/>
    <w:rsid w:val="00D00DBC"/>
    <w:rsid w:val="00D14293"/>
    <w:rsid w:val="00D17A2E"/>
    <w:rsid w:val="00D62272"/>
    <w:rsid w:val="00D86DF1"/>
    <w:rsid w:val="00D94872"/>
    <w:rsid w:val="00E46AD2"/>
    <w:rsid w:val="00E57521"/>
    <w:rsid w:val="00E9371B"/>
    <w:rsid w:val="00EA1DB7"/>
    <w:rsid w:val="00EB0C0E"/>
    <w:rsid w:val="00EB5E12"/>
    <w:rsid w:val="00EC7190"/>
    <w:rsid w:val="00ED1ABC"/>
    <w:rsid w:val="00EF7B27"/>
    <w:rsid w:val="00F00121"/>
    <w:rsid w:val="00F03E4D"/>
    <w:rsid w:val="00F10E2E"/>
    <w:rsid w:val="00F21348"/>
    <w:rsid w:val="00F80CD3"/>
    <w:rsid w:val="00FA0131"/>
    <w:rsid w:val="00FA0E4F"/>
    <w:rsid w:val="00FE37AD"/>
    <w:rsid w:val="01180362"/>
    <w:rsid w:val="01345E86"/>
    <w:rsid w:val="01351709"/>
    <w:rsid w:val="0139010F"/>
    <w:rsid w:val="014B38AD"/>
    <w:rsid w:val="016234D2"/>
    <w:rsid w:val="017E4826"/>
    <w:rsid w:val="01C744FB"/>
    <w:rsid w:val="01E07623"/>
    <w:rsid w:val="02255D03"/>
    <w:rsid w:val="02287A18"/>
    <w:rsid w:val="02354B2F"/>
    <w:rsid w:val="02447348"/>
    <w:rsid w:val="025517E0"/>
    <w:rsid w:val="025B36EA"/>
    <w:rsid w:val="028D1F0F"/>
    <w:rsid w:val="028E2C3F"/>
    <w:rsid w:val="02A163DC"/>
    <w:rsid w:val="02A17CDC"/>
    <w:rsid w:val="02A76333"/>
    <w:rsid w:val="03253FFF"/>
    <w:rsid w:val="034E307D"/>
    <w:rsid w:val="036A38A7"/>
    <w:rsid w:val="03935171"/>
    <w:rsid w:val="039353AB"/>
    <w:rsid w:val="03A42787"/>
    <w:rsid w:val="03A9605C"/>
    <w:rsid w:val="03AF659A"/>
    <w:rsid w:val="040A59AF"/>
    <w:rsid w:val="046A5B6D"/>
    <w:rsid w:val="04A5362F"/>
    <w:rsid w:val="04AA4233"/>
    <w:rsid w:val="04B34F3C"/>
    <w:rsid w:val="04CD7DC7"/>
    <w:rsid w:val="04F9080C"/>
    <w:rsid w:val="05004526"/>
    <w:rsid w:val="054C27F4"/>
    <w:rsid w:val="057E7A8F"/>
    <w:rsid w:val="059A7651"/>
    <w:rsid w:val="05C64186"/>
    <w:rsid w:val="05C86C09"/>
    <w:rsid w:val="05E574C6"/>
    <w:rsid w:val="05F973D8"/>
    <w:rsid w:val="06137FE4"/>
    <w:rsid w:val="0619570F"/>
    <w:rsid w:val="06413050"/>
    <w:rsid w:val="067302EE"/>
    <w:rsid w:val="068602C1"/>
    <w:rsid w:val="06AB2A7F"/>
    <w:rsid w:val="06EE226F"/>
    <w:rsid w:val="06FD7006"/>
    <w:rsid w:val="07283BBC"/>
    <w:rsid w:val="07684137"/>
    <w:rsid w:val="078A4F34"/>
    <w:rsid w:val="07B216D8"/>
    <w:rsid w:val="080055AF"/>
    <w:rsid w:val="08246A68"/>
    <w:rsid w:val="08292EF0"/>
    <w:rsid w:val="084B524D"/>
    <w:rsid w:val="089342E4"/>
    <w:rsid w:val="08963795"/>
    <w:rsid w:val="08AB21C5"/>
    <w:rsid w:val="08D15069"/>
    <w:rsid w:val="08D71D8F"/>
    <w:rsid w:val="08E510A5"/>
    <w:rsid w:val="08FA7CD2"/>
    <w:rsid w:val="09042473"/>
    <w:rsid w:val="091153EC"/>
    <w:rsid w:val="095E0575"/>
    <w:rsid w:val="097213BF"/>
    <w:rsid w:val="09C9041E"/>
    <w:rsid w:val="09DA4E24"/>
    <w:rsid w:val="09DB182A"/>
    <w:rsid w:val="09E01EFF"/>
    <w:rsid w:val="09E15AC5"/>
    <w:rsid w:val="09F93BE8"/>
    <w:rsid w:val="0A2663E6"/>
    <w:rsid w:val="0A3657A6"/>
    <w:rsid w:val="0A5203D1"/>
    <w:rsid w:val="0A546CFD"/>
    <w:rsid w:val="0AB729C1"/>
    <w:rsid w:val="0AC901C0"/>
    <w:rsid w:val="0ADF2164"/>
    <w:rsid w:val="0B301555"/>
    <w:rsid w:val="0B362B73"/>
    <w:rsid w:val="0B537F7B"/>
    <w:rsid w:val="0B624CBC"/>
    <w:rsid w:val="0B696845"/>
    <w:rsid w:val="0B7C7A64"/>
    <w:rsid w:val="0BA54BDE"/>
    <w:rsid w:val="0BDD6DD1"/>
    <w:rsid w:val="0BEB5B1A"/>
    <w:rsid w:val="0C075E6D"/>
    <w:rsid w:val="0C1734E6"/>
    <w:rsid w:val="0C524280"/>
    <w:rsid w:val="0C73257B"/>
    <w:rsid w:val="0C7932B7"/>
    <w:rsid w:val="0C7D670E"/>
    <w:rsid w:val="0C8D5D00"/>
    <w:rsid w:val="0C9C4A0A"/>
    <w:rsid w:val="0CA81750"/>
    <w:rsid w:val="0CB37F9B"/>
    <w:rsid w:val="0D5548E7"/>
    <w:rsid w:val="0D8747A0"/>
    <w:rsid w:val="0D8A48BB"/>
    <w:rsid w:val="0D92714F"/>
    <w:rsid w:val="0DAD0FFE"/>
    <w:rsid w:val="0DC7542B"/>
    <w:rsid w:val="0DCF62EA"/>
    <w:rsid w:val="0E14395A"/>
    <w:rsid w:val="0E1C70B3"/>
    <w:rsid w:val="0E247D43"/>
    <w:rsid w:val="0E2A3E4A"/>
    <w:rsid w:val="0E7476AF"/>
    <w:rsid w:val="0E8F5FA6"/>
    <w:rsid w:val="0E9F145C"/>
    <w:rsid w:val="0EA43B14"/>
    <w:rsid w:val="0EBD55F7"/>
    <w:rsid w:val="0ECF043F"/>
    <w:rsid w:val="0EE36E7C"/>
    <w:rsid w:val="0EE77A81"/>
    <w:rsid w:val="0F152D89"/>
    <w:rsid w:val="0F262DE9"/>
    <w:rsid w:val="0F5116AE"/>
    <w:rsid w:val="0F7563EB"/>
    <w:rsid w:val="0F8A35C0"/>
    <w:rsid w:val="0F8A492F"/>
    <w:rsid w:val="0F924C03"/>
    <w:rsid w:val="0FA22623"/>
    <w:rsid w:val="0FAE784A"/>
    <w:rsid w:val="0FC11AFA"/>
    <w:rsid w:val="0FC90073"/>
    <w:rsid w:val="0FE32A61"/>
    <w:rsid w:val="100F0B58"/>
    <w:rsid w:val="103122DA"/>
    <w:rsid w:val="104D4D24"/>
    <w:rsid w:val="105C2E66"/>
    <w:rsid w:val="105C5E7C"/>
    <w:rsid w:val="10A06B42"/>
    <w:rsid w:val="10AE0E9A"/>
    <w:rsid w:val="10DD2D03"/>
    <w:rsid w:val="10E7084B"/>
    <w:rsid w:val="11326F3C"/>
    <w:rsid w:val="11440BE5"/>
    <w:rsid w:val="114C26E8"/>
    <w:rsid w:val="114D01EF"/>
    <w:rsid w:val="11577442"/>
    <w:rsid w:val="11876D9C"/>
    <w:rsid w:val="118A47D0"/>
    <w:rsid w:val="11CA57A4"/>
    <w:rsid w:val="11CB0ABE"/>
    <w:rsid w:val="11CC5420"/>
    <w:rsid w:val="11D70154"/>
    <w:rsid w:val="11D96AB2"/>
    <w:rsid w:val="121A40C0"/>
    <w:rsid w:val="122C6F5D"/>
    <w:rsid w:val="12375BEF"/>
    <w:rsid w:val="125735A8"/>
    <w:rsid w:val="128E0DE0"/>
    <w:rsid w:val="1298498E"/>
    <w:rsid w:val="129B368C"/>
    <w:rsid w:val="12A00955"/>
    <w:rsid w:val="12E06408"/>
    <w:rsid w:val="13244572"/>
    <w:rsid w:val="1339236D"/>
    <w:rsid w:val="13503C3D"/>
    <w:rsid w:val="1363777D"/>
    <w:rsid w:val="136D3B99"/>
    <w:rsid w:val="13713473"/>
    <w:rsid w:val="13751EF8"/>
    <w:rsid w:val="1381018F"/>
    <w:rsid w:val="13A575C7"/>
    <w:rsid w:val="13AF5BC3"/>
    <w:rsid w:val="13BF21F2"/>
    <w:rsid w:val="13EE0F12"/>
    <w:rsid w:val="14316CAE"/>
    <w:rsid w:val="1438443B"/>
    <w:rsid w:val="143B2E41"/>
    <w:rsid w:val="144227CC"/>
    <w:rsid w:val="14453178"/>
    <w:rsid w:val="14546ED4"/>
    <w:rsid w:val="146E35F1"/>
    <w:rsid w:val="14702016"/>
    <w:rsid w:val="14A6073C"/>
    <w:rsid w:val="14C54332"/>
    <w:rsid w:val="14D25A10"/>
    <w:rsid w:val="14E44553"/>
    <w:rsid w:val="152F0F5F"/>
    <w:rsid w:val="15D05455"/>
    <w:rsid w:val="15E74D12"/>
    <w:rsid w:val="162F7B89"/>
    <w:rsid w:val="168D108C"/>
    <w:rsid w:val="16AF4AC3"/>
    <w:rsid w:val="16BE72DC"/>
    <w:rsid w:val="16C022CA"/>
    <w:rsid w:val="174278B6"/>
    <w:rsid w:val="179E21CE"/>
    <w:rsid w:val="17A12B8F"/>
    <w:rsid w:val="17B51DF3"/>
    <w:rsid w:val="180F3786"/>
    <w:rsid w:val="1814581A"/>
    <w:rsid w:val="18282132"/>
    <w:rsid w:val="183F64D4"/>
    <w:rsid w:val="183F7CC9"/>
    <w:rsid w:val="18897EA7"/>
    <w:rsid w:val="18AD6B08"/>
    <w:rsid w:val="18B34294"/>
    <w:rsid w:val="18B57797"/>
    <w:rsid w:val="1932365A"/>
    <w:rsid w:val="1974201F"/>
    <w:rsid w:val="198A3757"/>
    <w:rsid w:val="198C5F80"/>
    <w:rsid w:val="19B20A88"/>
    <w:rsid w:val="19BE1016"/>
    <w:rsid w:val="19D6751A"/>
    <w:rsid w:val="19E1589A"/>
    <w:rsid w:val="1A153AB6"/>
    <w:rsid w:val="1A1562EF"/>
    <w:rsid w:val="1A1E2C68"/>
    <w:rsid w:val="1A4C2D31"/>
    <w:rsid w:val="1AC474F7"/>
    <w:rsid w:val="1AD1680D"/>
    <w:rsid w:val="1AE86432"/>
    <w:rsid w:val="1AEB73B7"/>
    <w:rsid w:val="1B035B65"/>
    <w:rsid w:val="1B0F0870"/>
    <w:rsid w:val="1B200120"/>
    <w:rsid w:val="1B3560C1"/>
    <w:rsid w:val="1B4419E8"/>
    <w:rsid w:val="1B603EBF"/>
    <w:rsid w:val="1B8C2360"/>
    <w:rsid w:val="1B961C0D"/>
    <w:rsid w:val="1BA543EC"/>
    <w:rsid w:val="1BBD779E"/>
    <w:rsid w:val="1C3309D3"/>
    <w:rsid w:val="1C4954A8"/>
    <w:rsid w:val="1C4B4094"/>
    <w:rsid w:val="1C741880"/>
    <w:rsid w:val="1C852000"/>
    <w:rsid w:val="1CA1774F"/>
    <w:rsid w:val="1CFB4B98"/>
    <w:rsid w:val="1D070DED"/>
    <w:rsid w:val="1D194148"/>
    <w:rsid w:val="1D44526B"/>
    <w:rsid w:val="1D567831"/>
    <w:rsid w:val="1D852A43"/>
    <w:rsid w:val="1DB70D69"/>
    <w:rsid w:val="1DD63602"/>
    <w:rsid w:val="1DE10184"/>
    <w:rsid w:val="1DE6389C"/>
    <w:rsid w:val="1E0B21B3"/>
    <w:rsid w:val="1E2B0B0E"/>
    <w:rsid w:val="1E420733"/>
    <w:rsid w:val="1E880483"/>
    <w:rsid w:val="1E8D5A34"/>
    <w:rsid w:val="1EAF32FD"/>
    <w:rsid w:val="1EC82D1F"/>
    <w:rsid w:val="1EED2818"/>
    <w:rsid w:val="1EF12066"/>
    <w:rsid w:val="1EF92EF7"/>
    <w:rsid w:val="1F620BB2"/>
    <w:rsid w:val="1F8B2ADB"/>
    <w:rsid w:val="1FBF098E"/>
    <w:rsid w:val="1FBF69A5"/>
    <w:rsid w:val="1FC24520"/>
    <w:rsid w:val="1FCB49B6"/>
    <w:rsid w:val="1FDD5F55"/>
    <w:rsid w:val="20486E15"/>
    <w:rsid w:val="204B0788"/>
    <w:rsid w:val="20512691"/>
    <w:rsid w:val="205B4F73"/>
    <w:rsid w:val="205F27BC"/>
    <w:rsid w:val="206E56EC"/>
    <w:rsid w:val="20871E3E"/>
    <w:rsid w:val="209D76E0"/>
    <w:rsid w:val="20B117B1"/>
    <w:rsid w:val="20C03FCA"/>
    <w:rsid w:val="20D654B0"/>
    <w:rsid w:val="20ED42CD"/>
    <w:rsid w:val="20EE52A0"/>
    <w:rsid w:val="210662E3"/>
    <w:rsid w:val="213D51DD"/>
    <w:rsid w:val="214A7CC0"/>
    <w:rsid w:val="215F0650"/>
    <w:rsid w:val="21756F70"/>
    <w:rsid w:val="217C1F9C"/>
    <w:rsid w:val="219F3159"/>
    <w:rsid w:val="21A76846"/>
    <w:rsid w:val="21F430C2"/>
    <w:rsid w:val="22280099"/>
    <w:rsid w:val="228F5D58"/>
    <w:rsid w:val="22BA3A2B"/>
    <w:rsid w:val="22D064AF"/>
    <w:rsid w:val="22FB5E73"/>
    <w:rsid w:val="231A5646"/>
    <w:rsid w:val="23302C31"/>
    <w:rsid w:val="233911DB"/>
    <w:rsid w:val="23606002"/>
    <w:rsid w:val="23785E02"/>
    <w:rsid w:val="238C65DD"/>
    <w:rsid w:val="23A06908"/>
    <w:rsid w:val="23DA54E1"/>
    <w:rsid w:val="23F029F9"/>
    <w:rsid w:val="240862FA"/>
    <w:rsid w:val="24233357"/>
    <w:rsid w:val="2431380A"/>
    <w:rsid w:val="2443168D"/>
    <w:rsid w:val="244B3216"/>
    <w:rsid w:val="245F7DFD"/>
    <w:rsid w:val="24753297"/>
    <w:rsid w:val="24B8466D"/>
    <w:rsid w:val="24E05B0C"/>
    <w:rsid w:val="24EC2D9F"/>
    <w:rsid w:val="24FA62B3"/>
    <w:rsid w:val="250329C5"/>
    <w:rsid w:val="25246D8F"/>
    <w:rsid w:val="253A0263"/>
    <w:rsid w:val="256A1BF3"/>
    <w:rsid w:val="256B10EF"/>
    <w:rsid w:val="25AA1ED9"/>
    <w:rsid w:val="25B03DE2"/>
    <w:rsid w:val="25B26A3B"/>
    <w:rsid w:val="25CC3712"/>
    <w:rsid w:val="25CD1194"/>
    <w:rsid w:val="25D617B0"/>
    <w:rsid w:val="25FA31CE"/>
    <w:rsid w:val="264F0468"/>
    <w:rsid w:val="265B7A5F"/>
    <w:rsid w:val="26742C26"/>
    <w:rsid w:val="26A5092E"/>
    <w:rsid w:val="26D175ED"/>
    <w:rsid w:val="26E65233"/>
    <w:rsid w:val="27524813"/>
    <w:rsid w:val="27665A32"/>
    <w:rsid w:val="27825B79"/>
    <w:rsid w:val="27840BC4"/>
    <w:rsid w:val="27854A50"/>
    <w:rsid w:val="279D398E"/>
    <w:rsid w:val="27ED736F"/>
    <w:rsid w:val="27FD1429"/>
    <w:rsid w:val="280A6540"/>
    <w:rsid w:val="28331903"/>
    <w:rsid w:val="2874034C"/>
    <w:rsid w:val="2881261D"/>
    <w:rsid w:val="28A3543A"/>
    <w:rsid w:val="28D72411"/>
    <w:rsid w:val="28DD431A"/>
    <w:rsid w:val="28ED09F3"/>
    <w:rsid w:val="28F519C1"/>
    <w:rsid w:val="28FB09AD"/>
    <w:rsid w:val="290005B4"/>
    <w:rsid w:val="290C15E6"/>
    <w:rsid w:val="29191AB0"/>
    <w:rsid w:val="292B4099"/>
    <w:rsid w:val="2941623D"/>
    <w:rsid w:val="296E0005"/>
    <w:rsid w:val="29726A0C"/>
    <w:rsid w:val="297F191E"/>
    <w:rsid w:val="29A86EE6"/>
    <w:rsid w:val="29AB2C12"/>
    <w:rsid w:val="29B30AFA"/>
    <w:rsid w:val="29C73F17"/>
    <w:rsid w:val="29CA071F"/>
    <w:rsid w:val="29DE3B3C"/>
    <w:rsid w:val="29E85389"/>
    <w:rsid w:val="29EE20A3"/>
    <w:rsid w:val="2A113092"/>
    <w:rsid w:val="2A2A15A4"/>
    <w:rsid w:val="2A381655"/>
    <w:rsid w:val="2A720B27"/>
    <w:rsid w:val="2A783D3B"/>
    <w:rsid w:val="2A9113E2"/>
    <w:rsid w:val="2AA53905"/>
    <w:rsid w:val="2AD20F52"/>
    <w:rsid w:val="2ADB055C"/>
    <w:rsid w:val="2AE34D86"/>
    <w:rsid w:val="2AF54989"/>
    <w:rsid w:val="2B5449A3"/>
    <w:rsid w:val="2B696EC7"/>
    <w:rsid w:val="2B6C2049"/>
    <w:rsid w:val="2B8C00D9"/>
    <w:rsid w:val="2B931D0E"/>
    <w:rsid w:val="2B9B1CD3"/>
    <w:rsid w:val="2BCE686B"/>
    <w:rsid w:val="2BF31029"/>
    <w:rsid w:val="2BFA58BB"/>
    <w:rsid w:val="2BFB1B5F"/>
    <w:rsid w:val="2C1B357C"/>
    <w:rsid w:val="2C320B0E"/>
    <w:rsid w:val="2C3879BC"/>
    <w:rsid w:val="2C42462B"/>
    <w:rsid w:val="2C8D37A6"/>
    <w:rsid w:val="2C9C0849"/>
    <w:rsid w:val="2CAC20B0"/>
    <w:rsid w:val="2CB65E99"/>
    <w:rsid w:val="2CD10A17"/>
    <w:rsid w:val="2CE8006E"/>
    <w:rsid w:val="2CF93DC6"/>
    <w:rsid w:val="2D067BEC"/>
    <w:rsid w:val="2D3305D4"/>
    <w:rsid w:val="2D342CBA"/>
    <w:rsid w:val="2D560C70"/>
    <w:rsid w:val="2D5A44F9"/>
    <w:rsid w:val="2DB138C7"/>
    <w:rsid w:val="2DB46A8B"/>
    <w:rsid w:val="2DD867D9"/>
    <w:rsid w:val="2E4A67F6"/>
    <w:rsid w:val="2E5D03B3"/>
    <w:rsid w:val="2E646A10"/>
    <w:rsid w:val="2E691A32"/>
    <w:rsid w:val="2E6B07B8"/>
    <w:rsid w:val="2E791CCC"/>
    <w:rsid w:val="2E850F51"/>
    <w:rsid w:val="2E887D23"/>
    <w:rsid w:val="2E8D6BBF"/>
    <w:rsid w:val="2ED10EE4"/>
    <w:rsid w:val="2F616C29"/>
    <w:rsid w:val="2F6612E6"/>
    <w:rsid w:val="2FAC2A2A"/>
    <w:rsid w:val="2FAD4648"/>
    <w:rsid w:val="2FF10333"/>
    <w:rsid w:val="30021B53"/>
    <w:rsid w:val="300F6E18"/>
    <w:rsid w:val="302B2870"/>
    <w:rsid w:val="30461F6A"/>
    <w:rsid w:val="30750D80"/>
    <w:rsid w:val="30785015"/>
    <w:rsid w:val="30814620"/>
    <w:rsid w:val="30C0731C"/>
    <w:rsid w:val="30C65115"/>
    <w:rsid w:val="30EE71D2"/>
    <w:rsid w:val="311B481E"/>
    <w:rsid w:val="31292146"/>
    <w:rsid w:val="319779EB"/>
    <w:rsid w:val="31B00595"/>
    <w:rsid w:val="31E57E0B"/>
    <w:rsid w:val="3210344F"/>
    <w:rsid w:val="32296F5A"/>
    <w:rsid w:val="32447B7D"/>
    <w:rsid w:val="32676A3F"/>
    <w:rsid w:val="32747C95"/>
    <w:rsid w:val="327B34E1"/>
    <w:rsid w:val="327E79DA"/>
    <w:rsid w:val="32A91000"/>
    <w:rsid w:val="32AA07AD"/>
    <w:rsid w:val="32AF4D4C"/>
    <w:rsid w:val="32C600DD"/>
    <w:rsid w:val="33240766"/>
    <w:rsid w:val="334F0F48"/>
    <w:rsid w:val="33735C77"/>
    <w:rsid w:val="337A5602"/>
    <w:rsid w:val="33A63F29"/>
    <w:rsid w:val="33B12201"/>
    <w:rsid w:val="33E70EE1"/>
    <w:rsid w:val="341B3117"/>
    <w:rsid w:val="345F6138"/>
    <w:rsid w:val="34625F26"/>
    <w:rsid w:val="3474109D"/>
    <w:rsid w:val="34756775"/>
    <w:rsid w:val="34815AEF"/>
    <w:rsid w:val="34907C69"/>
    <w:rsid w:val="34BB21B8"/>
    <w:rsid w:val="34D67296"/>
    <w:rsid w:val="352978C7"/>
    <w:rsid w:val="353B6B52"/>
    <w:rsid w:val="354748F9"/>
    <w:rsid w:val="355E0C9B"/>
    <w:rsid w:val="355F0F7C"/>
    <w:rsid w:val="35A87AF3"/>
    <w:rsid w:val="35AB6B9C"/>
    <w:rsid w:val="35D77660"/>
    <w:rsid w:val="36132E0B"/>
    <w:rsid w:val="3615030C"/>
    <w:rsid w:val="361524F0"/>
    <w:rsid w:val="363D488D"/>
    <w:rsid w:val="36591174"/>
    <w:rsid w:val="365A471E"/>
    <w:rsid w:val="36627DA1"/>
    <w:rsid w:val="366C6C5A"/>
    <w:rsid w:val="36732D61"/>
    <w:rsid w:val="36871A02"/>
    <w:rsid w:val="368D2446"/>
    <w:rsid w:val="36A54835"/>
    <w:rsid w:val="36DD0212"/>
    <w:rsid w:val="36E630A0"/>
    <w:rsid w:val="36EF1119"/>
    <w:rsid w:val="36FD7435"/>
    <w:rsid w:val="370C54DE"/>
    <w:rsid w:val="37491AC0"/>
    <w:rsid w:val="3776256D"/>
    <w:rsid w:val="377768A0"/>
    <w:rsid w:val="37841974"/>
    <w:rsid w:val="37AA64C4"/>
    <w:rsid w:val="37BF77E4"/>
    <w:rsid w:val="380940FC"/>
    <w:rsid w:val="38134A0C"/>
    <w:rsid w:val="38153792"/>
    <w:rsid w:val="381D5E78"/>
    <w:rsid w:val="382C58C6"/>
    <w:rsid w:val="38373947"/>
    <w:rsid w:val="3861453E"/>
    <w:rsid w:val="38827620"/>
    <w:rsid w:val="3884217D"/>
    <w:rsid w:val="38856C1A"/>
    <w:rsid w:val="39043B19"/>
    <w:rsid w:val="392400CC"/>
    <w:rsid w:val="39360B4B"/>
    <w:rsid w:val="395A05A6"/>
    <w:rsid w:val="39614504"/>
    <w:rsid w:val="3997538E"/>
    <w:rsid w:val="39A86127"/>
    <w:rsid w:val="39D114EA"/>
    <w:rsid w:val="3A12006D"/>
    <w:rsid w:val="3A3C0AC2"/>
    <w:rsid w:val="3A49242D"/>
    <w:rsid w:val="3A674B76"/>
    <w:rsid w:val="3A881DEF"/>
    <w:rsid w:val="3AE51D85"/>
    <w:rsid w:val="3AF834CA"/>
    <w:rsid w:val="3B3742B4"/>
    <w:rsid w:val="3B517A38"/>
    <w:rsid w:val="3B7E2329"/>
    <w:rsid w:val="3B8C1A8E"/>
    <w:rsid w:val="3BCA3207"/>
    <w:rsid w:val="3BCC452A"/>
    <w:rsid w:val="3C09240E"/>
    <w:rsid w:val="3C5A3112"/>
    <w:rsid w:val="3C6A592B"/>
    <w:rsid w:val="3C7A5BC5"/>
    <w:rsid w:val="3C872CDC"/>
    <w:rsid w:val="3C8D4BE6"/>
    <w:rsid w:val="3C8F0B2D"/>
    <w:rsid w:val="3CCC056A"/>
    <w:rsid w:val="3CEF4978"/>
    <w:rsid w:val="3CFD291B"/>
    <w:rsid w:val="3D091FB1"/>
    <w:rsid w:val="3D09732E"/>
    <w:rsid w:val="3D2D4891"/>
    <w:rsid w:val="3D307E3E"/>
    <w:rsid w:val="3D9412A3"/>
    <w:rsid w:val="3D955418"/>
    <w:rsid w:val="3DA14A82"/>
    <w:rsid w:val="3DA42570"/>
    <w:rsid w:val="3DA86637"/>
    <w:rsid w:val="3DE6611C"/>
    <w:rsid w:val="3DF9513C"/>
    <w:rsid w:val="3E05343D"/>
    <w:rsid w:val="3E1F310C"/>
    <w:rsid w:val="3E59645B"/>
    <w:rsid w:val="3E847091"/>
    <w:rsid w:val="3EA0513E"/>
    <w:rsid w:val="3EC34805"/>
    <w:rsid w:val="3EF77515"/>
    <w:rsid w:val="3EFF3F0A"/>
    <w:rsid w:val="3F181D11"/>
    <w:rsid w:val="3F4B59E3"/>
    <w:rsid w:val="3F9132FF"/>
    <w:rsid w:val="3FBD5AEC"/>
    <w:rsid w:val="3FD8047A"/>
    <w:rsid w:val="40495906"/>
    <w:rsid w:val="405525F5"/>
    <w:rsid w:val="40936CCE"/>
    <w:rsid w:val="40DD2706"/>
    <w:rsid w:val="410B4A92"/>
    <w:rsid w:val="411063A8"/>
    <w:rsid w:val="413150CA"/>
    <w:rsid w:val="413D7498"/>
    <w:rsid w:val="416B32CF"/>
    <w:rsid w:val="41856F3A"/>
    <w:rsid w:val="41CB1088"/>
    <w:rsid w:val="41CF18A1"/>
    <w:rsid w:val="420610DF"/>
    <w:rsid w:val="4216717B"/>
    <w:rsid w:val="42382BB3"/>
    <w:rsid w:val="427E7AA4"/>
    <w:rsid w:val="429057C0"/>
    <w:rsid w:val="42A97719"/>
    <w:rsid w:val="42BC318C"/>
    <w:rsid w:val="42D331C3"/>
    <w:rsid w:val="42DF1A22"/>
    <w:rsid w:val="430E100D"/>
    <w:rsid w:val="432F7C11"/>
    <w:rsid w:val="437A7EBB"/>
    <w:rsid w:val="438F69E7"/>
    <w:rsid w:val="43A5087E"/>
    <w:rsid w:val="43B03699"/>
    <w:rsid w:val="43C80D40"/>
    <w:rsid w:val="43D64224"/>
    <w:rsid w:val="43D66A14"/>
    <w:rsid w:val="43F53911"/>
    <w:rsid w:val="440B2AF3"/>
    <w:rsid w:val="443E2003"/>
    <w:rsid w:val="444B62B2"/>
    <w:rsid w:val="445B15B3"/>
    <w:rsid w:val="4465639D"/>
    <w:rsid w:val="44667944"/>
    <w:rsid w:val="447D25A1"/>
    <w:rsid w:val="448239F1"/>
    <w:rsid w:val="448624AB"/>
    <w:rsid w:val="44960F42"/>
    <w:rsid w:val="44E97F1E"/>
    <w:rsid w:val="44F57A95"/>
    <w:rsid w:val="452F4E0F"/>
    <w:rsid w:val="45356D18"/>
    <w:rsid w:val="45390297"/>
    <w:rsid w:val="45AA6CD7"/>
    <w:rsid w:val="45B05C7C"/>
    <w:rsid w:val="45F0744B"/>
    <w:rsid w:val="45F46709"/>
    <w:rsid w:val="462B052A"/>
    <w:rsid w:val="463A4456"/>
    <w:rsid w:val="464B6860"/>
    <w:rsid w:val="465213B8"/>
    <w:rsid w:val="4664740A"/>
    <w:rsid w:val="468A074A"/>
    <w:rsid w:val="46C40A5D"/>
    <w:rsid w:val="46CE6E39"/>
    <w:rsid w:val="46E460B5"/>
    <w:rsid w:val="46FC1DC5"/>
    <w:rsid w:val="471D243C"/>
    <w:rsid w:val="472462AF"/>
    <w:rsid w:val="47251A46"/>
    <w:rsid w:val="472E5B48"/>
    <w:rsid w:val="4782046F"/>
    <w:rsid w:val="47874069"/>
    <w:rsid w:val="47C42849"/>
    <w:rsid w:val="47F82128"/>
    <w:rsid w:val="483031FD"/>
    <w:rsid w:val="48483E3E"/>
    <w:rsid w:val="48586D61"/>
    <w:rsid w:val="486C1ACC"/>
    <w:rsid w:val="48BD40E6"/>
    <w:rsid w:val="48D24F85"/>
    <w:rsid w:val="48E16C30"/>
    <w:rsid w:val="48EF6AB4"/>
    <w:rsid w:val="4910229C"/>
    <w:rsid w:val="492D1E1C"/>
    <w:rsid w:val="498D6163"/>
    <w:rsid w:val="499C0765"/>
    <w:rsid w:val="499F1547"/>
    <w:rsid w:val="49A64064"/>
    <w:rsid w:val="4A041E7F"/>
    <w:rsid w:val="4A06182B"/>
    <w:rsid w:val="4A4628E8"/>
    <w:rsid w:val="4A470B81"/>
    <w:rsid w:val="4ACE7349"/>
    <w:rsid w:val="4AEA33F6"/>
    <w:rsid w:val="4AF56EDE"/>
    <w:rsid w:val="4B29095D"/>
    <w:rsid w:val="4B2B3E60"/>
    <w:rsid w:val="4B370F67"/>
    <w:rsid w:val="4B704D0D"/>
    <w:rsid w:val="4B7C12D6"/>
    <w:rsid w:val="4BB23F83"/>
    <w:rsid w:val="4BC761C6"/>
    <w:rsid w:val="4BD444F6"/>
    <w:rsid w:val="4BE90D9B"/>
    <w:rsid w:val="4C1A0D48"/>
    <w:rsid w:val="4C347FFB"/>
    <w:rsid w:val="4C432F00"/>
    <w:rsid w:val="4C496BBA"/>
    <w:rsid w:val="4C575B4B"/>
    <w:rsid w:val="4C63084E"/>
    <w:rsid w:val="4C671669"/>
    <w:rsid w:val="4C901387"/>
    <w:rsid w:val="4CC95E8A"/>
    <w:rsid w:val="4CDA6AC5"/>
    <w:rsid w:val="4CE36665"/>
    <w:rsid w:val="4D304A80"/>
    <w:rsid w:val="4D304EE7"/>
    <w:rsid w:val="4D3651B9"/>
    <w:rsid w:val="4D3A3BC0"/>
    <w:rsid w:val="4D5F637E"/>
    <w:rsid w:val="4D7F46B4"/>
    <w:rsid w:val="4D980CDC"/>
    <w:rsid w:val="4DA4641D"/>
    <w:rsid w:val="4DCF70B7"/>
    <w:rsid w:val="4DE6755C"/>
    <w:rsid w:val="4DE839F5"/>
    <w:rsid w:val="4DEB56D0"/>
    <w:rsid w:val="4E05511C"/>
    <w:rsid w:val="4E080D95"/>
    <w:rsid w:val="4E4478F5"/>
    <w:rsid w:val="4E4A5082"/>
    <w:rsid w:val="4E7B25B1"/>
    <w:rsid w:val="4E7B2E3A"/>
    <w:rsid w:val="4E8C32C9"/>
    <w:rsid w:val="4EB4342C"/>
    <w:rsid w:val="4EE57FE7"/>
    <w:rsid w:val="4F0979EB"/>
    <w:rsid w:val="4F0C733E"/>
    <w:rsid w:val="4F194455"/>
    <w:rsid w:val="4F2F3357"/>
    <w:rsid w:val="4F4B6E23"/>
    <w:rsid w:val="4F614533"/>
    <w:rsid w:val="4F676753"/>
    <w:rsid w:val="4F951821"/>
    <w:rsid w:val="4FAF4E21"/>
    <w:rsid w:val="4FB40370"/>
    <w:rsid w:val="4FB90FAB"/>
    <w:rsid w:val="4FD61F95"/>
    <w:rsid w:val="4FE0641D"/>
    <w:rsid w:val="50126483"/>
    <w:rsid w:val="505F0812"/>
    <w:rsid w:val="50764A1A"/>
    <w:rsid w:val="50DB40B6"/>
    <w:rsid w:val="515676B6"/>
    <w:rsid w:val="51CD69B3"/>
    <w:rsid w:val="51E26E67"/>
    <w:rsid w:val="51E978C0"/>
    <w:rsid w:val="520E10F5"/>
    <w:rsid w:val="52257550"/>
    <w:rsid w:val="52341F69"/>
    <w:rsid w:val="523F397D"/>
    <w:rsid w:val="52474FFC"/>
    <w:rsid w:val="524D2C93"/>
    <w:rsid w:val="5264613C"/>
    <w:rsid w:val="52784DDC"/>
    <w:rsid w:val="52945899"/>
    <w:rsid w:val="52D43E71"/>
    <w:rsid w:val="52F17409"/>
    <w:rsid w:val="534F5AC0"/>
    <w:rsid w:val="53561D0E"/>
    <w:rsid w:val="536F151F"/>
    <w:rsid w:val="53B04660"/>
    <w:rsid w:val="53C005F6"/>
    <w:rsid w:val="53EA39B9"/>
    <w:rsid w:val="53FB2ACA"/>
    <w:rsid w:val="54021060"/>
    <w:rsid w:val="54293CA9"/>
    <w:rsid w:val="54453778"/>
    <w:rsid w:val="54462F01"/>
    <w:rsid w:val="545952F2"/>
    <w:rsid w:val="548712B9"/>
    <w:rsid w:val="54D95840"/>
    <w:rsid w:val="54E810BF"/>
    <w:rsid w:val="550E0D49"/>
    <w:rsid w:val="5513117E"/>
    <w:rsid w:val="55426736"/>
    <w:rsid w:val="55501739"/>
    <w:rsid w:val="556E1BAD"/>
    <w:rsid w:val="55867B74"/>
    <w:rsid w:val="55956812"/>
    <w:rsid w:val="55957278"/>
    <w:rsid w:val="55A80497"/>
    <w:rsid w:val="55C555DB"/>
    <w:rsid w:val="55D16F8A"/>
    <w:rsid w:val="55F66018"/>
    <w:rsid w:val="560E36BE"/>
    <w:rsid w:val="56602B8B"/>
    <w:rsid w:val="566268EF"/>
    <w:rsid w:val="567F4C77"/>
    <w:rsid w:val="56850D7E"/>
    <w:rsid w:val="56B32575"/>
    <w:rsid w:val="56CC14F3"/>
    <w:rsid w:val="572E197D"/>
    <w:rsid w:val="57521214"/>
    <w:rsid w:val="5777520F"/>
    <w:rsid w:val="57990C47"/>
    <w:rsid w:val="57B317F1"/>
    <w:rsid w:val="57BA117B"/>
    <w:rsid w:val="57BD5F4C"/>
    <w:rsid w:val="57C73E88"/>
    <w:rsid w:val="57EE718F"/>
    <w:rsid w:val="581B3529"/>
    <w:rsid w:val="583F38D3"/>
    <w:rsid w:val="58425BDC"/>
    <w:rsid w:val="584F166F"/>
    <w:rsid w:val="58782A56"/>
    <w:rsid w:val="58894CCC"/>
    <w:rsid w:val="589B3CED"/>
    <w:rsid w:val="5941447A"/>
    <w:rsid w:val="59656C38"/>
    <w:rsid w:val="5967213C"/>
    <w:rsid w:val="599F48EC"/>
    <w:rsid w:val="59CB1674"/>
    <w:rsid w:val="5A6B0F6B"/>
    <w:rsid w:val="5A7E1904"/>
    <w:rsid w:val="5A892508"/>
    <w:rsid w:val="5AD44891"/>
    <w:rsid w:val="5AF73B4C"/>
    <w:rsid w:val="5B1D0508"/>
    <w:rsid w:val="5B4705E8"/>
    <w:rsid w:val="5B74479A"/>
    <w:rsid w:val="5BAB57F1"/>
    <w:rsid w:val="5BAF32FA"/>
    <w:rsid w:val="5BB7278F"/>
    <w:rsid w:val="5BE07F0B"/>
    <w:rsid w:val="5BF27BA6"/>
    <w:rsid w:val="5C08720C"/>
    <w:rsid w:val="5C320050"/>
    <w:rsid w:val="5CAF6A73"/>
    <w:rsid w:val="5D082632"/>
    <w:rsid w:val="5D2112E4"/>
    <w:rsid w:val="5D597EFD"/>
    <w:rsid w:val="5D620742"/>
    <w:rsid w:val="5D6A5670"/>
    <w:rsid w:val="5D946993"/>
    <w:rsid w:val="5DA65F98"/>
    <w:rsid w:val="5DC450B5"/>
    <w:rsid w:val="5DDF0682"/>
    <w:rsid w:val="5E1B52FD"/>
    <w:rsid w:val="5E1C7089"/>
    <w:rsid w:val="5E207250"/>
    <w:rsid w:val="5E447336"/>
    <w:rsid w:val="5E612863"/>
    <w:rsid w:val="5E6B0BF4"/>
    <w:rsid w:val="5E6F2E7E"/>
    <w:rsid w:val="5E785614"/>
    <w:rsid w:val="5E843D1D"/>
    <w:rsid w:val="5EAB19DE"/>
    <w:rsid w:val="5EDB7FAF"/>
    <w:rsid w:val="5F1C59F8"/>
    <w:rsid w:val="5F295B30"/>
    <w:rsid w:val="5F457D51"/>
    <w:rsid w:val="5F462822"/>
    <w:rsid w:val="5F552341"/>
    <w:rsid w:val="5F8303BD"/>
    <w:rsid w:val="5F915021"/>
    <w:rsid w:val="5FA4126C"/>
    <w:rsid w:val="5FAB7A88"/>
    <w:rsid w:val="5FC1264B"/>
    <w:rsid w:val="5FD01045"/>
    <w:rsid w:val="5FDA464E"/>
    <w:rsid w:val="5FF97102"/>
    <w:rsid w:val="5FFF45D5"/>
    <w:rsid w:val="5FFF488E"/>
    <w:rsid w:val="60066240"/>
    <w:rsid w:val="60322334"/>
    <w:rsid w:val="604265FC"/>
    <w:rsid w:val="604B148A"/>
    <w:rsid w:val="60637840"/>
    <w:rsid w:val="607B1C59"/>
    <w:rsid w:val="60D422E8"/>
    <w:rsid w:val="611904AD"/>
    <w:rsid w:val="612236EC"/>
    <w:rsid w:val="61302A02"/>
    <w:rsid w:val="613A0F30"/>
    <w:rsid w:val="61595DC4"/>
    <w:rsid w:val="61720EED"/>
    <w:rsid w:val="61813DAD"/>
    <w:rsid w:val="61915F1E"/>
    <w:rsid w:val="61984B45"/>
    <w:rsid w:val="619A1BC9"/>
    <w:rsid w:val="619D3036"/>
    <w:rsid w:val="61B00465"/>
    <w:rsid w:val="61B628DB"/>
    <w:rsid w:val="61BF394A"/>
    <w:rsid w:val="61D4185F"/>
    <w:rsid w:val="61EC2A5B"/>
    <w:rsid w:val="61FC55CD"/>
    <w:rsid w:val="62101F05"/>
    <w:rsid w:val="624330A8"/>
    <w:rsid w:val="629E620F"/>
    <w:rsid w:val="62A27060"/>
    <w:rsid w:val="62AC7970"/>
    <w:rsid w:val="62C51707"/>
    <w:rsid w:val="62D1432C"/>
    <w:rsid w:val="62F51069"/>
    <w:rsid w:val="632B1543"/>
    <w:rsid w:val="632F7F49"/>
    <w:rsid w:val="633F4960"/>
    <w:rsid w:val="635A28E5"/>
    <w:rsid w:val="636E1F1C"/>
    <w:rsid w:val="6377613F"/>
    <w:rsid w:val="637B424A"/>
    <w:rsid w:val="63960BF2"/>
    <w:rsid w:val="63A42106"/>
    <w:rsid w:val="63BE0AB1"/>
    <w:rsid w:val="63BF6DE4"/>
    <w:rsid w:val="640F3413"/>
    <w:rsid w:val="6428472F"/>
    <w:rsid w:val="642A6098"/>
    <w:rsid w:val="6437077B"/>
    <w:rsid w:val="64691A27"/>
    <w:rsid w:val="64841CCE"/>
    <w:rsid w:val="648D7E85"/>
    <w:rsid w:val="649317EA"/>
    <w:rsid w:val="64A70A2F"/>
    <w:rsid w:val="64D52B71"/>
    <w:rsid w:val="65000502"/>
    <w:rsid w:val="65282282"/>
    <w:rsid w:val="653D645C"/>
    <w:rsid w:val="654266AF"/>
    <w:rsid w:val="65A3057E"/>
    <w:rsid w:val="65B7603D"/>
    <w:rsid w:val="65CB530E"/>
    <w:rsid w:val="65DA1375"/>
    <w:rsid w:val="65EB5843"/>
    <w:rsid w:val="65FC6D3D"/>
    <w:rsid w:val="66532E70"/>
    <w:rsid w:val="665458DE"/>
    <w:rsid w:val="66557471"/>
    <w:rsid w:val="66670A10"/>
    <w:rsid w:val="66737C3C"/>
    <w:rsid w:val="66D74547"/>
    <w:rsid w:val="67271564"/>
    <w:rsid w:val="67454301"/>
    <w:rsid w:val="674C68BC"/>
    <w:rsid w:val="67636B9F"/>
    <w:rsid w:val="6764762E"/>
    <w:rsid w:val="67A75274"/>
    <w:rsid w:val="67B2269E"/>
    <w:rsid w:val="682F08AB"/>
    <w:rsid w:val="68355FA4"/>
    <w:rsid w:val="684C1B2A"/>
    <w:rsid w:val="686D58E2"/>
    <w:rsid w:val="68795496"/>
    <w:rsid w:val="687B1EF5"/>
    <w:rsid w:val="689D062F"/>
    <w:rsid w:val="692F7B9E"/>
    <w:rsid w:val="693365A4"/>
    <w:rsid w:val="6941113D"/>
    <w:rsid w:val="69680FFD"/>
    <w:rsid w:val="69752891"/>
    <w:rsid w:val="69C53915"/>
    <w:rsid w:val="69CC3379"/>
    <w:rsid w:val="69DA0372"/>
    <w:rsid w:val="6A0C6288"/>
    <w:rsid w:val="6A1B56DE"/>
    <w:rsid w:val="6A34524E"/>
    <w:rsid w:val="6A37294F"/>
    <w:rsid w:val="6A5B5CB8"/>
    <w:rsid w:val="6A82366A"/>
    <w:rsid w:val="6A842A4E"/>
    <w:rsid w:val="6AAA4E8C"/>
    <w:rsid w:val="6ABA5F43"/>
    <w:rsid w:val="6ABB09AA"/>
    <w:rsid w:val="6ABC062A"/>
    <w:rsid w:val="6B01111E"/>
    <w:rsid w:val="6B1D51CB"/>
    <w:rsid w:val="6B256D77"/>
    <w:rsid w:val="6B324F84"/>
    <w:rsid w:val="6B6C07CE"/>
    <w:rsid w:val="6B7632DB"/>
    <w:rsid w:val="6B961612"/>
    <w:rsid w:val="6B9A269D"/>
    <w:rsid w:val="6BA40927"/>
    <w:rsid w:val="6BA75710"/>
    <w:rsid w:val="6BE62696"/>
    <w:rsid w:val="6BF10A27"/>
    <w:rsid w:val="6C014D94"/>
    <w:rsid w:val="6C026743"/>
    <w:rsid w:val="6C270E9C"/>
    <w:rsid w:val="6C376E21"/>
    <w:rsid w:val="6C3D7230"/>
    <w:rsid w:val="6C460131"/>
    <w:rsid w:val="6C4910B5"/>
    <w:rsid w:val="6C681707"/>
    <w:rsid w:val="6CAD3358"/>
    <w:rsid w:val="6CB177E0"/>
    <w:rsid w:val="6CC27A7A"/>
    <w:rsid w:val="6CCB618B"/>
    <w:rsid w:val="6CDC51B2"/>
    <w:rsid w:val="6D301BA0"/>
    <w:rsid w:val="6D3447CD"/>
    <w:rsid w:val="6D521AB6"/>
    <w:rsid w:val="6D550ED4"/>
    <w:rsid w:val="6D5C6E92"/>
    <w:rsid w:val="6D7762A4"/>
    <w:rsid w:val="6DB30687"/>
    <w:rsid w:val="6DD72E46"/>
    <w:rsid w:val="6DE852DE"/>
    <w:rsid w:val="6DF44E5D"/>
    <w:rsid w:val="6E024CC1"/>
    <w:rsid w:val="6E6371A6"/>
    <w:rsid w:val="6E903E2C"/>
    <w:rsid w:val="6E9B2B83"/>
    <w:rsid w:val="6EA578E1"/>
    <w:rsid w:val="6EC76ECB"/>
    <w:rsid w:val="6EF91CD9"/>
    <w:rsid w:val="6EFB7725"/>
    <w:rsid w:val="6EFE1F56"/>
    <w:rsid w:val="6F4B11CA"/>
    <w:rsid w:val="6F4C29A7"/>
    <w:rsid w:val="6F6242D5"/>
    <w:rsid w:val="6F6913BC"/>
    <w:rsid w:val="6F755D6A"/>
    <w:rsid w:val="6FE24D11"/>
    <w:rsid w:val="6FE3639E"/>
    <w:rsid w:val="700D4FE4"/>
    <w:rsid w:val="705F3769"/>
    <w:rsid w:val="709771BC"/>
    <w:rsid w:val="70CF72A0"/>
    <w:rsid w:val="70E123E0"/>
    <w:rsid w:val="70F63065"/>
    <w:rsid w:val="70F97DBF"/>
    <w:rsid w:val="71110CB3"/>
    <w:rsid w:val="71637B14"/>
    <w:rsid w:val="717532B1"/>
    <w:rsid w:val="71857A1D"/>
    <w:rsid w:val="718A79D3"/>
    <w:rsid w:val="7192530F"/>
    <w:rsid w:val="71AF5201"/>
    <w:rsid w:val="71BB3A25"/>
    <w:rsid w:val="71BC6F3D"/>
    <w:rsid w:val="71DB1237"/>
    <w:rsid w:val="720E0702"/>
    <w:rsid w:val="72307267"/>
    <w:rsid w:val="723C6F82"/>
    <w:rsid w:val="725738A4"/>
    <w:rsid w:val="7291440D"/>
    <w:rsid w:val="7292719D"/>
    <w:rsid w:val="72BD45D1"/>
    <w:rsid w:val="72C13189"/>
    <w:rsid w:val="72D53540"/>
    <w:rsid w:val="72DD4E02"/>
    <w:rsid w:val="72F75611"/>
    <w:rsid w:val="734223E8"/>
    <w:rsid w:val="73426D24"/>
    <w:rsid w:val="73453BFF"/>
    <w:rsid w:val="737D1D88"/>
    <w:rsid w:val="73841A7A"/>
    <w:rsid w:val="73863B2D"/>
    <w:rsid w:val="73913527"/>
    <w:rsid w:val="73B115BF"/>
    <w:rsid w:val="73BF7973"/>
    <w:rsid w:val="73D97FA4"/>
    <w:rsid w:val="73E06030"/>
    <w:rsid w:val="73EF5F44"/>
    <w:rsid w:val="73F658CE"/>
    <w:rsid w:val="74047519"/>
    <w:rsid w:val="74077D67"/>
    <w:rsid w:val="741B2FAE"/>
    <w:rsid w:val="74512765"/>
    <w:rsid w:val="747B749B"/>
    <w:rsid w:val="747B79B2"/>
    <w:rsid w:val="748D7C5D"/>
    <w:rsid w:val="74A400FA"/>
    <w:rsid w:val="74BB0B0F"/>
    <w:rsid w:val="74BC5F74"/>
    <w:rsid w:val="74BD7896"/>
    <w:rsid w:val="74D66AB8"/>
    <w:rsid w:val="74EA0D82"/>
    <w:rsid w:val="74F91C79"/>
    <w:rsid w:val="74FF3B82"/>
    <w:rsid w:val="750166EE"/>
    <w:rsid w:val="750E1676"/>
    <w:rsid w:val="75553B10"/>
    <w:rsid w:val="756338A7"/>
    <w:rsid w:val="75B6202C"/>
    <w:rsid w:val="75EC428A"/>
    <w:rsid w:val="76031926"/>
    <w:rsid w:val="76442B95"/>
    <w:rsid w:val="76446418"/>
    <w:rsid w:val="767057E6"/>
    <w:rsid w:val="76864F12"/>
    <w:rsid w:val="76A864C4"/>
    <w:rsid w:val="76D65D49"/>
    <w:rsid w:val="76D71FAA"/>
    <w:rsid w:val="76E04202"/>
    <w:rsid w:val="7702398D"/>
    <w:rsid w:val="770E38E2"/>
    <w:rsid w:val="77116A65"/>
    <w:rsid w:val="77193E72"/>
    <w:rsid w:val="77415633"/>
    <w:rsid w:val="774F4682"/>
    <w:rsid w:val="77607E69"/>
    <w:rsid w:val="777C2476"/>
    <w:rsid w:val="77854826"/>
    <w:rsid w:val="77A61681"/>
    <w:rsid w:val="77B34070"/>
    <w:rsid w:val="77B72A76"/>
    <w:rsid w:val="77C06702"/>
    <w:rsid w:val="77FF04A7"/>
    <w:rsid w:val="780844EF"/>
    <w:rsid w:val="780E0C59"/>
    <w:rsid w:val="781F11A1"/>
    <w:rsid w:val="7831493E"/>
    <w:rsid w:val="7842045C"/>
    <w:rsid w:val="785173F2"/>
    <w:rsid w:val="78784A88"/>
    <w:rsid w:val="788B3AE1"/>
    <w:rsid w:val="78A13215"/>
    <w:rsid w:val="78A53AC2"/>
    <w:rsid w:val="78EE0575"/>
    <w:rsid w:val="78F62F87"/>
    <w:rsid w:val="792E5ADB"/>
    <w:rsid w:val="79511E9E"/>
    <w:rsid w:val="79580332"/>
    <w:rsid w:val="79793821"/>
    <w:rsid w:val="797C30FA"/>
    <w:rsid w:val="798B2D1C"/>
    <w:rsid w:val="798B560E"/>
    <w:rsid w:val="798D4BFB"/>
    <w:rsid w:val="79A522A2"/>
    <w:rsid w:val="79BF0C4D"/>
    <w:rsid w:val="79C51939"/>
    <w:rsid w:val="79CF59ED"/>
    <w:rsid w:val="79D42467"/>
    <w:rsid w:val="79EE5F19"/>
    <w:rsid w:val="7A5F16D0"/>
    <w:rsid w:val="7A656E5D"/>
    <w:rsid w:val="7A882894"/>
    <w:rsid w:val="7A8A5D97"/>
    <w:rsid w:val="7A9331AD"/>
    <w:rsid w:val="7AA95FF0"/>
    <w:rsid w:val="7AB114DA"/>
    <w:rsid w:val="7AE550CC"/>
    <w:rsid w:val="7AF04842"/>
    <w:rsid w:val="7B266D23"/>
    <w:rsid w:val="7B62387C"/>
    <w:rsid w:val="7B66674E"/>
    <w:rsid w:val="7B684BC9"/>
    <w:rsid w:val="7B695405"/>
    <w:rsid w:val="7B785A20"/>
    <w:rsid w:val="7B9D6702"/>
    <w:rsid w:val="7B9E6606"/>
    <w:rsid w:val="7BC24AE6"/>
    <w:rsid w:val="7BD6383B"/>
    <w:rsid w:val="7C2A7A42"/>
    <w:rsid w:val="7C2C2F45"/>
    <w:rsid w:val="7C4C127B"/>
    <w:rsid w:val="7C745605"/>
    <w:rsid w:val="7C934725"/>
    <w:rsid w:val="7CC04D91"/>
    <w:rsid w:val="7CCE16D7"/>
    <w:rsid w:val="7CD70E5F"/>
    <w:rsid w:val="7D2221D8"/>
    <w:rsid w:val="7D3613E3"/>
    <w:rsid w:val="7D5C2DF0"/>
    <w:rsid w:val="7D6F39C2"/>
    <w:rsid w:val="7D71105E"/>
    <w:rsid w:val="7D75319C"/>
    <w:rsid w:val="7D7D673C"/>
    <w:rsid w:val="7DB11A90"/>
    <w:rsid w:val="7E2A10C7"/>
    <w:rsid w:val="7E463B72"/>
    <w:rsid w:val="7E5E79E2"/>
    <w:rsid w:val="7E7E10FB"/>
    <w:rsid w:val="7E7F67CC"/>
    <w:rsid w:val="7E896E18"/>
    <w:rsid w:val="7E9349B9"/>
    <w:rsid w:val="7EAE51E2"/>
    <w:rsid w:val="7EB5092A"/>
    <w:rsid w:val="7ED37C33"/>
    <w:rsid w:val="7EF60E5A"/>
    <w:rsid w:val="7F307D3A"/>
    <w:rsid w:val="7F3E7050"/>
    <w:rsid w:val="7F61042A"/>
    <w:rsid w:val="7F697CF8"/>
    <w:rsid w:val="7FB8479B"/>
    <w:rsid w:val="7FBD539F"/>
    <w:rsid w:val="7FDB01D3"/>
    <w:rsid w:val="7FEA29E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iPriority="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semiHidden/>
    <w:qFormat/>
    <w:uiPriority w:val="0"/>
    <w:pPr>
      <w:kinsoku w:val="0"/>
      <w:autoSpaceDE w:val="0"/>
      <w:autoSpaceDN w:val="0"/>
      <w:adjustRightInd w:val="0"/>
      <w:snapToGrid w:val="0"/>
      <w:textAlignment w:val="baseline"/>
    </w:pPr>
    <w:rPr>
      <w:rFonts w:ascii="Arial" w:hAnsi="Arial" w:eastAsia="Arial" w:cs="Arial"/>
      <w:snapToGrid w:val="0"/>
      <w:color w:val="000000"/>
      <w:sz w:val="21"/>
      <w:szCs w:val="21"/>
      <w:lang w:val="en-US" w:eastAsia="en-US" w:bidi="ar-SA"/>
    </w:rPr>
  </w:style>
  <w:style w:type="paragraph" w:styleId="2">
    <w:name w:val="heading 3"/>
    <w:basedOn w:val="1"/>
    <w:next w:val="1"/>
    <w:link w:val="16"/>
    <w:unhideWhenUsed/>
    <w:qFormat/>
    <w:uiPriority w:val="0"/>
    <w:pPr>
      <w:widowControl w:val="0"/>
      <w:kinsoku/>
      <w:autoSpaceDE/>
      <w:autoSpaceDN/>
      <w:adjustRightInd/>
      <w:snapToGrid/>
      <w:spacing w:beforeAutospacing="1" w:afterAutospacing="1"/>
      <w:textAlignment w:val="auto"/>
      <w:outlineLvl w:val="2"/>
    </w:pPr>
    <w:rPr>
      <w:rFonts w:hint="eastAsia" w:ascii="宋体" w:hAnsi="宋体" w:eastAsia="宋体" w:cs="Times New Roman"/>
      <w:b/>
      <w:bCs/>
      <w:snapToGrid/>
      <w:color w:val="auto"/>
      <w:sz w:val="27"/>
      <w:szCs w:val="27"/>
      <w:lang w:eastAsia="zh-CN"/>
    </w:rPr>
  </w:style>
  <w:style w:type="character" w:default="1" w:styleId="9">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3">
    <w:name w:val="annotation text"/>
    <w:basedOn w:val="1"/>
    <w:qFormat/>
    <w:uiPriority w:val="0"/>
  </w:style>
  <w:style w:type="paragraph" w:styleId="4">
    <w:name w:val="Body Text"/>
    <w:basedOn w:val="1"/>
    <w:semiHidden/>
    <w:qFormat/>
    <w:uiPriority w:val="0"/>
    <w:rPr>
      <w:rFonts w:ascii="微软雅黑" w:hAnsi="微软雅黑" w:eastAsia="微软雅黑" w:cs="微软雅黑"/>
      <w:sz w:val="29"/>
      <w:szCs w:val="29"/>
    </w:rPr>
  </w:style>
  <w:style w:type="paragraph" w:styleId="5">
    <w:name w:val="footer"/>
    <w:basedOn w:val="1"/>
    <w:qFormat/>
    <w:uiPriority w:val="0"/>
    <w:pPr>
      <w:tabs>
        <w:tab w:val="center" w:pos="4153"/>
        <w:tab w:val="right" w:pos="8306"/>
      </w:tabs>
    </w:pPr>
    <w:rPr>
      <w:sz w:val="18"/>
    </w:rPr>
  </w:style>
  <w:style w:type="paragraph" w:styleId="6">
    <w:name w:val="header"/>
    <w:basedOn w:val="1"/>
    <w:link w:val="15"/>
    <w:qFormat/>
    <w:uiPriority w:val="0"/>
    <w:pPr>
      <w:tabs>
        <w:tab w:val="center" w:pos="4153"/>
        <w:tab w:val="right" w:pos="8306"/>
      </w:tabs>
      <w:jc w:val="center"/>
    </w:pPr>
    <w:rPr>
      <w:sz w:val="18"/>
      <w:szCs w:val="18"/>
    </w:rPr>
  </w:style>
  <w:style w:type="paragraph" w:styleId="7">
    <w:name w:val="Normal (Web)"/>
    <w:basedOn w:val="1"/>
    <w:qFormat/>
    <w:uiPriority w:val="0"/>
    <w:rPr>
      <w:sz w:val="24"/>
    </w:rPr>
  </w:style>
  <w:style w:type="character" w:styleId="10">
    <w:name w:val="Strong"/>
    <w:basedOn w:val="9"/>
    <w:qFormat/>
    <w:uiPriority w:val="0"/>
    <w:rPr>
      <w:b/>
    </w:rPr>
  </w:style>
  <w:style w:type="character" w:styleId="11">
    <w:name w:val="Hyperlink"/>
    <w:basedOn w:val="9"/>
    <w:qFormat/>
    <w:uiPriority w:val="0"/>
    <w:rPr>
      <w:color w:val="0000FF"/>
      <w:u w:val="single"/>
    </w:rPr>
  </w:style>
  <w:style w:type="character" w:styleId="12">
    <w:name w:val="annotation reference"/>
    <w:basedOn w:val="9"/>
    <w:qFormat/>
    <w:uiPriority w:val="0"/>
    <w:rPr>
      <w:sz w:val="21"/>
      <w:szCs w:val="21"/>
    </w:rPr>
  </w:style>
  <w:style w:type="table" w:customStyle="1" w:styleId="13">
    <w:name w:val="Table Normal"/>
    <w:unhideWhenUsed/>
    <w:qFormat/>
    <w:uiPriority w:val="0"/>
    <w:tblPr>
      <w:tblCellMar>
        <w:top w:w="0" w:type="dxa"/>
        <w:left w:w="0" w:type="dxa"/>
        <w:bottom w:w="0" w:type="dxa"/>
        <w:right w:w="0" w:type="dxa"/>
      </w:tblCellMar>
    </w:tblPr>
  </w:style>
  <w:style w:type="paragraph" w:customStyle="1" w:styleId="14">
    <w:name w:val="Table Text"/>
    <w:basedOn w:val="1"/>
    <w:semiHidden/>
    <w:qFormat/>
    <w:uiPriority w:val="0"/>
    <w:rPr>
      <w:rFonts w:ascii="宋体" w:hAnsi="宋体" w:eastAsia="宋体" w:cs="宋体"/>
      <w:sz w:val="10"/>
      <w:szCs w:val="10"/>
    </w:rPr>
  </w:style>
  <w:style w:type="character" w:customStyle="1" w:styleId="15">
    <w:name w:val="页眉 字符"/>
    <w:basedOn w:val="9"/>
    <w:link w:val="6"/>
    <w:qFormat/>
    <w:uiPriority w:val="0"/>
    <w:rPr>
      <w:rFonts w:eastAsia="Arial"/>
      <w:snapToGrid w:val="0"/>
      <w:color w:val="000000"/>
      <w:sz w:val="18"/>
      <w:szCs w:val="18"/>
      <w:lang w:eastAsia="en-US"/>
    </w:rPr>
  </w:style>
  <w:style w:type="character" w:customStyle="1" w:styleId="16">
    <w:name w:val="标题 3 字符"/>
    <w:basedOn w:val="9"/>
    <w:link w:val="2"/>
    <w:qFormat/>
    <w:uiPriority w:val="0"/>
    <w:rPr>
      <w:rFonts w:ascii="宋体" w:hAnsi="宋体" w:eastAsia="宋体" w:cs="Times New Roman"/>
      <w:b/>
      <w:bCs/>
      <w:sz w:val="27"/>
      <w:szCs w:val="27"/>
    </w:rPr>
  </w:style>
  <w:style w:type="paragraph" w:styleId="17">
    <w:name w:val="List Paragraph"/>
    <w:basedOn w:val="1"/>
    <w:unhideWhenUsed/>
    <w:qFormat/>
    <w:uiPriority w:val="99"/>
    <w:pPr>
      <w:ind w:firstLine="420" w:firstLineChars="200"/>
    </w:pPr>
  </w:style>
  <w:style w:type="paragraph" w:customStyle="1" w:styleId="18">
    <w:name w:val="修订1"/>
    <w:hidden/>
    <w:unhideWhenUsed/>
    <w:qFormat/>
    <w:uiPriority w:val="99"/>
    <w:rPr>
      <w:rFonts w:ascii="Arial" w:hAnsi="Arial" w:eastAsia="Arial" w:cs="Arial"/>
      <w:snapToGrid w:val="0"/>
      <w:color w:val="000000"/>
      <w:sz w:val="21"/>
      <w:szCs w:val="21"/>
      <w:lang w:val="en-US" w:eastAsia="en-US" w:bidi="ar-SA"/>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7</Pages>
  <Words>2902</Words>
  <Characters>3068</Characters>
  <Lines>31</Lines>
  <Paragraphs>8</Paragraphs>
  <TotalTime>57</TotalTime>
  <ScaleCrop>false</ScaleCrop>
  <LinksUpToDate>false</LinksUpToDate>
  <CharactersWithSpaces>3145</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2026-02-05T00:28:00Z</dcterms:created>
  <dc:creator>Administrator</dc:creator>
  <cp:lastModifiedBy>丹</cp:lastModifiedBy>
  <cp:lastPrinted>2026-06-12T01:18:00Z</cp:lastPrinted>
  <dcterms:modified xsi:type="dcterms:W3CDTF">2026-06-30T08:32:47Z</dcterms:modified>
  <cp:revision>30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wqlLaW5nc29mdCBQREYgdG8gV1BTIDExNQ</vt:lpwstr>
  </property>
  <property fmtid="{D5CDD505-2E9C-101B-9397-08002B2CF9AE}" pid="3" name="Created">
    <vt:filetime>2025-12-17T14:55:59Z</vt:filetime>
  </property>
  <property fmtid="{D5CDD505-2E9C-101B-9397-08002B2CF9AE}" pid="4" name="KSOTemplateDocerSaveRecord">
    <vt:lpwstr>eyJoZGlkIjoiYjZiYTVkMDJjNDgxYjVhMzI1OWY2OWFlZThmMDU3Y2YiLCJ1c2VySWQiOiI0OTIwMjU5MjYifQ==</vt:lpwstr>
  </property>
  <property fmtid="{D5CDD505-2E9C-101B-9397-08002B2CF9AE}" pid="5" name="KSOProductBuildVer">
    <vt:lpwstr>2052-12.1.0.26895</vt:lpwstr>
  </property>
  <property fmtid="{D5CDD505-2E9C-101B-9397-08002B2CF9AE}" pid="6" name="ICV">
    <vt:lpwstr>F069B3EA24E14A328F0E70A929F81A10</vt:lpwstr>
  </property>
</Properties>
</file>